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1340"/>
        </w:tabs>
        <w:kinsoku/>
        <w:wordWrap/>
        <w:overflowPunct/>
        <w:topLinePunct w:val="0"/>
        <w:bidi w:val="0"/>
        <w:spacing w:line="520" w:lineRule="exact"/>
        <w:textAlignment w:val="auto"/>
        <w:rPr>
          <w:rFonts w:hint="eastAsia" w:ascii="仿宋_GB2312" w:hAnsi="仿宋_GB2312" w:eastAsia="仿宋_GB2312" w:cs="仿宋_GB2312"/>
          <w:b w:val="0"/>
          <w:bCs w:val="0"/>
          <w:color w:val="auto"/>
          <w:spacing w:val="3"/>
          <w:sz w:val="32"/>
          <w:szCs w:val="32"/>
          <w:highlight w:val="none"/>
        </w:rPr>
      </w:pP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color w:val="auto"/>
          <w:w w:val="100"/>
          <w:kern w:val="0"/>
          <w:sz w:val="44"/>
          <w:szCs w:val="44"/>
          <w:highlight w:val="none"/>
          <w:lang w:val="en-US" w:eastAsia="zh-CN"/>
        </w:rPr>
      </w:pPr>
      <w:r>
        <w:rPr>
          <w:rFonts w:hint="eastAsia" w:ascii="方正小标宋_GBK" w:hAnsi="方正小标宋_GBK" w:eastAsia="方正小标宋_GBK" w:cs="方正小标宋_GBK"/>
          <w:b w:val="0"/>
          <w:bCs w:val="0"/>
          <w:color w:val="auto"/>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color w:val="auto"/>
          <w:w w:val="100"/>
          <w:kern w:val="0"/>
          <w:sz w:val="44"/>
          <w:szCs w:val="44"/>
          <w:highlight w:val="none"/>
          <w:lang w:val="en-US" w:eastAsia="zh-CN"/>
        </w:rPr>
      </w:pPr>
      <w:r>
        <w:rPr>
          <w:rFonts w:hint="eastAsia" w:ascii="方正小标宋_GBK" w:hAnsi="方正小标宋_GBK" w:eastAsia="方正小标宋_GBK" w:cs="方正小标宋_GBK"/>
          <w:b w:val="0"/>
          <w:bCs w:val="0"/>
          <w:color w:val="auto"/>
          <w:w w:val="100"/>
          <w:kern w:val="0"/>
          <w:sz w:val="44"/>
          <w:szCs w:val="44"/>
          <w:highlight w:val="none"/>
          <w:lang w:val="en-US" w:eastAsia="zh-CN"/>
        </w:rPr>
        <w:t>网上挂牌出让公告</w:t>
      </w:r>
    </w:p>
    <w:p>
      <w:pPr>
        <w:keepNext w:val="0"/>
        <w:keepLines w:val="0"/>
        <w:pageBreakBefore w:val="0"/>
        <w:tabs>
          <w:tab w:val="left" w:pos="11340"/>
        </w:tabs>
        <w:kinsoku/>
        <w:wordWrap/>
        <w:overflowPunct/>
        <w:topLinePunct w:val="0"/>
        <w:bidi w:val="0"/>
        <w:spacing w:line="520" w:lineRule="exact"/>
        <w:ind w:left="4018" w:hanging="2880" w:hangingChars="900"/>
        <w:jc w:val="center"/>
        <w:textAlignment w:val="auto"/>
        <w:rPr>
          <w:rFonts w:hint="eastAsia" w:ascii="仿宋_GB2312" w:hAnsi="仿宋_GB2312" w:eastAsia="仿宋_GB2312" w:cs="仿宋_GB2312"/>
          <w:b w:val="0"/>
          <w:bCs w:val="0"/>
          <w:color w:val="FF0000"/>
          <w:sz w:val="32"/>
          <w:szCs w:val="32"/>
          <w:highlight w:val="none"/>
        </w:rPr>
      </w:pPr>
      <w:r>
        <w:rPr>
          <w:rFonts w:hint="eastAsia" w:ascii="仿宋_GB2312" w:hAnsi="仿宋_GB2312" w:eastAsia="仿宋_GB2312" w:cs="仿宋_GB2312"/>
          <w:b w:val="0"/>
          <w:bCs w:val="0"/>
          <w:color w:val="auto"/>
          <w:sz w:val="32"/>
          <w:szCs w:val="32"/>
          <w:highlight w:val="none"/>
        </w:rPr>
        <w:t>惠</w:t>
      </w:r>
      <w:r>
        <w:rPr>
          <w:rFonts w:hint="eastAsia" w:ascii="仿宋_GB2312" w:hAnsi="仿宋_GB2312" w:eastAsia="仿宋_GB2312" w:cs="仿宋_GB2312"/>
          <w:b w:val="0"/>
          <w:bCs w:val="0"/>
          <w:color w:val="auto"/>
          <w:sz w:val="32"/>
          <w:szCs w:val="32"/>
          <w:highlight w:val="none"/>
          <w:lang w:val="en-US" w:eastAsia="zh-CN"/>
        </w:rPr>
        <w:t>仲土挂告</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rPr>
        <w:t>]00</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号</w:t>
      </w:r>
    </w:p>
    <w:p>
      <w:pPr>
        <w:keepNext w:val="0"/>
        <w:keepLines w:val="0"/>
        <w:pageBreakBefore w:val="0"/>
        <w:kinsoku/>
        <w:wordWrap/>
        <w:overflowPunct/>
        <w:topLinePunct w:val="0"/>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根据《招标拍卖挂牌出让国有建设用地使用权规定》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国土资源部令第39号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和《广东省土地使用权交易市场管理规定》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广东省人民政府令第79号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的规定，经批准，</w:t>
      </w:r>
      <w:r>
        <w:rPr>
          <w:rFonts w:hint="eastAsia" w:ascii="仿宋_GB2312" w:hAnsi="仿宋_GB2312" w:eastAsia="仿宋_GB2312" w:cs="仿宋_GB2312"/>
          <w:b w:val="0"/>
          <w:bCs w:val="0"/>
          <w:color w:val="auto"/>
          <w:sz w:val="32"/>
          <w:szCs w:val="32"/>
          <w:highlight w:val="none"/>
          <w:lang w:eastAsia="zh-CN"/>
        </w:rPr>
        <w:t>我</w:t>
      </w:r>
      <w:r>
        <w:rPr>
          <w:rFonts w:hint="eastAsia" w:ascii="仿宋_GB2312" w:hAnsi="仿宋_GB2312" w:eastAsia="仿宋_GB2312" w:cs="仿宋_GB2312"/>
          <w:b w:val="0"/>
          <w:bCs w:val="0"/>
          <w:color w:val="auto"/>
          <w:sz w:val="32"/>
          <w:szCs w:val="32"/>
          <w:highlight w:val="none"/>
        </w:rPr>
        <w:t>局决定以网上挂牌方式公开出让下列一宗国有建设用地使用权。现将有关事项公告如下：</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rPr>
        <w:t>网上挂牌出让地块基本情况及规划指标要求（见附表）</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rPr>
        <w:t>挂牌起始价及</w:t>
      </w:r>
      <w:r>
        <w:rPr>
          <w:rFonts w:hint="eastAsia" w:ascii="仿宋_GB2312" w:hAnsi="仿宋_GB2312" w:eastAsia="仿宋_GB2312" w:cs="仿宋_GB2312"/>
          <w:b w:val="0"/>
          <w:bCs w:val="0"/>
          <w:color w:val="auto"/>
          <w:sz w:val="32"/>
          <w:szCs w:val="32"/>
          <w:highlight w:val="none"/>
          <w:lang w:val="en-US" w:eastAsia="zh-CN"/>
        </w:rPr>
        <w:t>增</w:t>
      </w:r>
      <w:r>
        <w:rPr>
          <w:rFonts w:hint="eastAsia" w:ascii="仿宋_GB2312" w:hAnsi="仿宋_GB2312" w:eastAsia="仿宋_GB2312" w:cs="仿宋_GB2312"/>
          <w:b w:val="0"/>
          <w:bCs w:val="0"/>
          <w:color w:val="auto"/>
          <w:sz w:val="32"/>
          <w:szCs w:val="32"/>
          <w:highlight w:val="none"/>
        </w:rPr>
        <w:t>价幅度</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挂牌起始价为人民币</w:t>
      </w:r>
      <w:r>
        <w:rPr>
          <w:rFonts w:hint="eastAsia" w:ascii="仿宋_GB2312" w:hAnsi="仿宋_GB2312" w:eastAsia="仿宋_GB2312" w:cs="仿宋_GB2312"/>
          <w:b w:val="0"/>
          <w:bCs w:val="0"/>
          <w:color w:val="auto"/>
          <w:sz w:val="32"/>
          <w:szCs w:val="32"/>
          <w:highlight w:val="none"/>
          <w:lang w:val="en-US" w:eastAsia="zh-CN"/>
        </w:rPr>
        <w:t>18592</w:t>
      </w:r>
      <w:r>
        <w:rPr>
          <w:rFonts w:hint="eastAsia" w:ascii="仿宋_GB2312" w:hAnsi="仿宋_GB2312" w:eastAsia="仿宋_GB2312" w:cs="仿宋_GB2312"/>
          <w:b w:val="0"/>
          <w:bCs w:val="0"/>
          <w:color w:val="auto"/>
          <w:sz w:val="32"/>
          <w:szCs w:val="32"/>
          <w:highlight w:val="none"/>
        </w:rPr>
        <w:t>万元,每次报价</w:t>
      </w:r>
      <w:r>
        <w:rPr>
          <w:rFonts w:hint="eastAsia" w:ascii="仿宋_GB2312" w:hAnsi="仿宋_GB2312" w:eastAsia="仿宋_GB2312" w:cs="仿宋_GB2312"/>
          <w:b w:val="0"/>
          <w:bCs w:val="0"/>
          <w:color w:val="auto"/>
          <w:sz w:val="32"/>
          <w:szCs w:val="32"/>
          <w:highlight w:val="none"/>
          <w:lang w:val="en-US" w:eastAsia="zh-CN"/>
        </w:rPr>
        <w:t>增</w:t>
      </w:r>
      <w:r>
        <w:rPr>
          <w:rFonts w:hint="eastAsia" w:ascii="仿宋_GB2312" w:hAnsi="仿宋_GB2312" w:eastAsia="仿宋_GB2312" w:cs="仿宋_GB2312"/>
          <w:b w:val="0"/>
          <w:bCs w:val="0"/>
          <w:color w:val="auto"/>
          <w:sz w:val="32"/>
          <w:szCs w:val="32"/>
          <w:highlight w:val="none"/>
        </w:rPr>
        <w:t>价幅度为人民币</w:t>
      </w:r>
      <w:r>
        <w:rPr>
          <w:rFonts w:hint="eastAsia" w:ascii="仿宋_GB2312" w:hAnsi="仿宋_GB2312" w:eastAsia="仿宋_GB2312" w:cs="仿宋_GB2312"/>
          <w:b w:val="0"/>
          <w:bCs w:val="0"/>
          <w:color w:val="auto"/>
          <w:sz w:val="32"/>
          <w:szCs w:val="32"/>
          <w:highlight w:val="none"/>
          <w:lang w:val="en-US" w:eastAsia="zh-CN"/>
        </w:rPr>
        <w:t>100</w:t>
      </w:r>
      <w:r>
        <w:rPr>
          <w:rFonts w:hint="eastAsia" w:ascii="仿宋_GB2312" w:hAnsi="仿宋_GB2312" w:eastAsia="仿宋_GB2312" w:cs="仿宋_GB2312"/>
          <w:b w:val="0"/>
          <w:bCs w:val="0"/>
          <w:color w:val="auto"/>
          <w:sz w:val="32"/>
          <w:szCs w:val="32"/>
          <w:highlight w:val="none"/>
        </w:rPr>
        <w:t>万元的整数倍。</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三、时间安排</w:t>
      </w:r>
    </w:p>
    <w:p>
      <w:pPr>
        <w:pStyle w:val="5"/>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（一）公告时间：</w:t>
      </w:r>
      <w:r>
        <w:rPr>
          <w:rFonts w:hint="eastAsia" w:ascii="仿宋_GB2312" w:hAnsi="仿宋_GB2312" w:eastAsia="仿宋_GB2312" w:cs="仿宋_GB2312"/>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rPr>
        <w:t>日至</w:t>
      </w:r>
      <w:r>
        <w:rPr>
          <w:rFonts w:hint="eastAsia" w:ascii="仿宋_GB2312" w:hAnsi="仿宋_GB2312" w:eastAsia="仿宋_GB2312" w:cs="仿宋_GB2312"/>
          <w:b w:val="0"/>
          <w:bCs w:val="0"/>
          <w:color w:val="auto"/>
          <w:sz w:val="32"/>
          <w:szCs w:val="32"/>
          <w:highlight w:val="none"/>
          <w:lang w:val="en-US" w:eastAsia="zh-CN"/>
        </w:rPr>
        <w:t>2022年9月29日</w:t>
      </w:r>
      <w:r>
        <w:rPr>
          <w:rFonts w:hint="eastAsia" w:ascii="仿宋_GB2312" w:hAnsi="仿宋_GB2312" w:eastAsia="仿宋_GB2312" w:cs="仿宋_GB2312"/>
          <w:b w:val="0"/>
          <w:bCs w:val="0"/>
          <w:color w:val="auto"/>
          <w:sz w:val="32"/>
          <w:szCs w:val="32"/>
          <w:highlight w:val="none"/>
          <w:lang w:eastAsia="zh-CN"/>
        </w:rPr>
        <w:t>。</w:t>
      </w:r>
    </w:p>
    <w:p>
      <w:pPr>
        <w:pStyle w:val="5"/>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（二）网上挂牌竞买时间：</w:t>
      </w:r>
      <w:r>
        <w:rPr>
          <w:rFonts w:hint="eastAsia" w:ascii="仿宋_GB2312" w:hAnsi="仿宋_GB2312" w:eastAsia="仿宋_GB2312" w:cs="仿宋_GB2312"/>
          <w:b w:val="0"/>
          <w:bCs w:val="0"/>
          <w:color w:val="auto"/>
          <w:sz w:val="32"/>
          <w:szCs w:val="32"/>
          <w:highlight w:val="none"/>
          <w:lang w:val="en-US" w:eastAsia="zh-CN"/>
        </w:rPr>
        <w:t>2022 年9月29日9</w:t>
      </w:r>
      <w:r>
        <w:rPr>
          <w:rFonts w:hint="eastAsia" w:ascii="仿宋_GB2312" w:hAnsi="仿宋_GB2312" w:eastAsia="仿宋_GB2312" w:cs="仿宋_GB2312"/>
          <w:b w:val="0"/>
          <w:bCs w:val="0"/>
          <w:color w:val="auto"/>
          <w:sz w:val="32"/>
          <w:szCs w:val="32"/>
          <w:highlight w:val="none"/>
        </w:rPr>
        <w:t>时至 2022 年10月1</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rPr>
        <w:t>日10时。</w:t>
      </w:r>
    </w:p>
    <w:p>
      <w:pPr>
        <w:keepNext w:val="0"/>
        <w:keepLines w:val="0"/>
        <w:pageBreakBefore w:val="0"/>
        <w:numPr>
          <w:ilvl w:val="0"/>
          <w:numId w:val="0"/>
        </w:numPr>
        <w:kinsoku/>
        <w:wordWrap/>
        <w:overflowPunct/>
        <w:topLinePunct w:val="0"/>
        <w:autoSpaceDE/>
        <w:autoSpaceDN/>
        <w:bidi w:val="0"/>
        <w:spacing w:line="52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rPr>
        <w:t>竞买保证金到账截止时间为：</w:t>
      </w:r>
      <w:r>
        <w:rPr>
          <w:rFonts w:hint="eastAsia" w:ascii="仿宋_GB2312" w:hAnsi="仿宋_GB2312" w:eastAsia="仿宋_GB2312" w:cs="仿宋_GB2312"/>
          <w:b w:val="0"/>
          <w:bCs w:val="0"/>
          <w:color w:val="auto"/>
          <w:sz w:val="32"/>
          <w:szCs w:val="32"/>
          <w:highlight w:val="none"/>
          <w:lang w:val="en-US" w:eastAsia="zh-CN"/>
        </w:rPr>
        <w:t>2022</w:t>
      </w:r>
      <w:r>
        <w:rPr>
          <w:rFonts w:hint="eastAsia" w:ascii="仿宋_GB2312" w:hAnsi="仿宋_GB2312" w:eastAsia="仿宋_GB2312" w:cs="仿宋_GB2312"/>
          <w:b w:val="0"/>
          <w:bCs w:val="0"/>
          <w:color w:val="auto"/>
          <w:sz w:val="32"/>
          <w:szCs w:val="32"/>
          <w:highlight w:val="none"/>
        </w:rPr>
        <w:t>年10月1</w:t>
      </w:r>
      <w:r>
        <w:rPr>
          <w:rFonts w:hint="eastAsia" w:ascii="仿宋_GB2312" w:hAnsi="仿宋_GB2312" w:eastAsia="仿宋_GB2312" w:cs="仿宋_GB2312"/>
          <w:b w:val="0"/>
          <w:bCs w:val="0"/>
          <w:color w:val="auto"/>
          <w:sz w:val="32"/>
          <w:szCs w:val="32"/>
          <w:highlight w:val="none"/>
          <w:lang w:val="en-US" w:eastAsia="zh-CN"/>
        </w:rPr>
        <w:t>8</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rPr>
        <w:t>时。</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四、竞买资格及要求</w:t>
      </w:r>
    </w:p>
    <w:p>
      <w:pPr>
        <w:pStyle w:val="9"/>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中华人民共和国境内外的法人、自然人和其他组织（除法律法规另有规定外）具备本条规定条件的，均可申请参加竞买。申请人可以单独申请，也可以联合申请，竞买申请人必须同时具备下列条件：</w:t>
      </w:r>
    </w:p>
    <w:p>
      <w:pPr>
        <w:pStyle w:val="9"/>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（一）缴交竞买保证金</w:t>
      </w:r>
      <w:r>
        <w:rPr>
          <w:rFonts w:hint="eastAsia" w:ascii="仿宋_GB2312" w:hAnsi="仿宋_GB2312" w:eastAsia="仿宋_GB2312" w:cs="仿宋_GB2312"/>
          <w:b w:val="0"/>
          <w:bCs w:val="0"/>
          <w:color w:val="auto"/>
          <w:sz w:val="32"/>
          <w:szCs w:val="32"/>
          <w:highlight w:val="none"/>
          <w:lang w:val="en-US" w:eastAsia="zh-CN"/>
        </w:rPr>
        <w:t>9296</w:t>
      </w:r>
      <w:r>
        <w:rPr>
          <w:rFonts w:hint="eastAsia" w:ascii="仿宋_GB2312" w:hAnsi="仿宋_GB2312" w:eastAsia="仿宋_GB2312" w:cs="仿宋_GB2312"/>
          <w:b w:val="0"/>
          <w:bCs w:val="0"/>
          <w:color w:val="auto"/>
          <w:sz w:val="32"/>
          <w:szCs w:val="32"/>
          <w:highlight w:val="none"/>
          <w:lang w:eastAsia="zh-CN"/>
        </w:rPr>
        <w:t>万元人民币；</w:t>
      </w:r>
    </w:p>
    <w:p>
      <w:pPr>
        <w:pStyle w:val="9"/>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（二）</w:t>
      </w:r>
      <w:r>
        <w:rPr>
          <w:rFonts w:hint="eastAsia" w:ascii="仿宋_GB2312" w:hAnsi="仿宋_GB2312" w:eastAsia="仿宋_GB2312" w:cs="仿宋_GB2312"/>
          <w:b w:val="0"/>
          <w:bCs w:val="0"/>
          <w:color w:val="auto"/>
          <w:sz w:val="32"/>
          <w:szCs w:val="32"/>
          <w:highlight w:val="none"/>
          <w:lang w:val="en-US" w:eastAsia="zh-CN"/>
        </w:rPr>
        <w:t>拖欠地价款、闲置土地、囤地炒地的企业及其控股股东不得参与竞买</w:t>
      </w:r>
      <w:r>
        <w:rPr>
          <w:rFonts w:hint="eastAsia" w:ascii="仿宋_GB2312" w:hAnsi="仿宋_GB2312" w:eastAsia="仿宋_GB2312" w:cs="仿宋_GB2312"/>
          <w:b w:val="0"/>
          <w:bCs w:val="0"/>
          <w:color w:val="auto"/>
          <w:sz w:val="32"/>
          <w:szCs w:val="32"/>
          <w:highlight w:val="none"/>
          <w:lang w:eastAsia="zh-CN"/>
        </w:rPr>
        <w:t>；</w:t>
      </w:r>
    </w:p>
    <w:p>
      <w:pPr>
        <w:pStyle w:val="9"/>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竞买申请人须具备房地产开发资质</w:t>
      </w:r>
      <w:r>
        <w:rPr>
          <w:rFonts w:hint="eastAsia" w:ascii="仿宋_GB2312" w:hAnsi="仿宋_GB2312" w:eastAsia="仿宋_GB2312" w:cs="仿宋_GB2312"/>
          <w:b w:val="0"/>
          <w:bCs w:val="0"/>
          <w:color w:val="auto"/>
          <w:sz w:val="32"/>
          <w:szCs w:val="32"/>
          <w:highlight w:val="none"/>
          <w:lang w:eastAsia="zh-CN"/>
        </w:rPr>
        <w:t>（或者具备住建部门出具的房地产开发企业资质的核准意见）</w:t>
      </w:r>
      <w:r>
        <w:rPr>
          <w:rFonts w:hint="eastAsia" w:ascii="仿宋_GB2312" w:hAnsi="仿宋_GB2312" w:eastAsia="仿宋_GB2312" w:cs="仿宋_GB2312"/>
          <w:b w:val="0"/>
          <w:bCs w:val="0"/>
          <w:color w:val="auto"/>
          <w:sz w:val="32"/>
          <w:szCs w:val="32"/>
          <w:highlight w:val="none"/>
          <w:lang w:val="en-US" w:eastAsia="zh-CN"/>
        </w:rPr>
        <w:t>，且同一企业及控股公司只允许一家企业参与竞买。</w:t>
      </w:r>
    </w:p>
    <w:p>
      <w:pPr>
        <w:pStyle w:val="9"/>
        <w:keepNext w:val="0"/>
        <w:keepLines w:val="0"/>
        <w:pageBreakBefore w:val="0"/>
        <w:widowControl/>
        <w:kinsoku/>
        <w:wordWrap/>
        <w:overflowPunct/>
        <w:topLinePunct w:val="0"/>
        <w:autoSpaceDE/>
        <w:autoSpaceDN/>
        <w:bidi w:val="0"/>
        <w:spacing w:line="52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五、需要说明的事项</w:t>
      </w:r>
    </w:p>
    <w:p>
      <w:pPr>
        <w:pStyle w:val="6"/>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eastAsia" w:hAnsi="仿宋_GB2312" w:cs="仿宋_GB2312"/>
          <w:b w:val="0"/>
          <w:bCs w:val="0"/>
          <w:color w:val="auto"/>
          <w:sz w:val="32"/>
          <w:szCs w:val="32"/>
          <w:highlight w:val="none"/>
          <w:lang w:val="en-US" w:eastAsia="zh-CN"/>
        </w:rPr>
      </w:pPr>
      <w:r>
        <w:rPr>
          <w:rFonts w:hint="eastAsia" w:hAnsi="仿宋_GB2312" w:cs="仿宋_GB2312"/>
          <w:b w:val="0"/>
          <w:bCs w:val="0"/>
          <w:color w:val="auto"/>
          <w:sz w:val="32"/>
          <w:szCs w:val="32"/>
          <w:highlight w:val="none"/>
          <w:lang w:val="en-US" w:eastAsia="zh-CN"/>
        </w:rPr>
        <w:t>（一）地块竞价溢价达到总地价21380万元时，转为采用摇号方式确定竞得人；</w:t>
      </w:r>
    </w:p>
    <w:p>
      <w:pPr>
        <w:pStyle w:val="6"/>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eastAsia" w:hAnsi="仿宋_GB2312" w:cs="仿宋_GB2312"/>
          <w:b w:val="0"/>
          <w:bCs w:val="0"/>
          <w:color w:val="auto"/>
          <w:sz w:val="32"/>
          <w:szCs w:val="32"/>
          <w:highlight w:val="none"/>
          <w:lang w:val="en-US" w:eastAsia="zh-CN"/>
        </w:rPr>
      </w:pPr>
      <w:r>
        <w:rPr>
          <w:rFonts w:hint="eastAsia" w:hAnsi="仿宋_GB2312" w:cs="仿宋_GB2312"/>
          <w:b w:val="0"/>
          <w:bCs w:val="0"/>
          <w:color w:val="auto"/>
          <w:sz w:val="32"/>
          <w:szCs w:val="32"/>
          <w:highlight w:val="none"/>
          <w:lang w:val="en-US" w:eastAsia="zh-CN"/>
        </w:rPr>
        <w:t>（二）该地块所建商品住房单套毛坯住房最高销售单价13223元/㎡；</w:t>
      </w:r>
    </w:p>
    <w:p>
      <w:pPr>
        <w:pStyle w:val="6"/>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eastAsia" w:hAnsi="仿宋_GB2312" w:cs="仿宋_GB2312"/>
          <w:b w:val="0"/>
          <w:bCs w:val="0"/>
          <w:color w:val="auto"/>
          <w:sz w:val="32"/>
          <w:szCs w:val="32"/>
          <w:highlight w:val="none"/>
          <w:lang w:val="en-US" w:eastAsia="zh-CN"/>
        </w:rPr>
      </w:pPr>
      <w:r>
        <w:rPr>
          <w:rFonts w:hint="eastAsia" w:hAnsi="仿宋_GB2312" w:cs="仿宋_GB2312"/>
          <w:b w:val="0"/>
          <w:bCs w:val="0"/>
          <w:color w:val="auto"/>
          <w:sz w:val="32"/>
          <w:szCs w:val="32"/>
          <w:highlight w:val="none"/>
          <w:lang w:val="en-US" w:eastAsia="zh-CN"/>
        </w:rPr>
        <w:t>（三）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提供相应证明并对上述要求作出承诺。对于经审查资金来源不符合要求的，根据情况采取取消参与资格竞买、取消竞得资格、解除土地出让合同或收回已出让土地等措施，竞买保证金不予返还，一年内不得在惠州市参加土地竞买；</w:t>
      </w:r>
    </w:p>
    <w:p>
      <w:pPr>
        <w:pStyle w:val="6"/>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eastAsia" w:hAnsi="仿宋_GB2312" w:cs="仿宋_GB2312"/>
          <w:b w:val="0"/>
          <w:bCs w:val="0"/>
          <w:color w:val="auto"/>
          <w:sz w:val="32"/>
          <w:szCs w:val="32"/>
          <w:highlight w:val="none"/>
          <w:lang w:val="en-US" w:eastAsia="zh-CN"/>
        </w:rPr>
      </w:pPr>
      <w:r>
        <w:rPr>
          <w:rFonts w:hint="eastAsia" w:hAnsi="仿宋_GB2312" w:cs="仿宋_GB2312"/>
          <w:b w:val="0"/>
          <w:bCs w:val="0"/>
          <w:color w:val="auto"/>
          <w:sz w:val="32"/>
          <w:szCs w:val="32"/>
          <w:highlight w:val="none"/>
          <w:lang w:val="en-US" w:eastAsia="zh-CN"/>
        </w:rPr>
        <w:t>（四）竞得人除缴交成交地价款外，还需按规定缴交契税等有关税费；</w:t>
      </w:r>
    </w:p>
    <w:p>
      <w:pPr>
        <w:pStyle w:val="6"/>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eastAsia" w:hAnsi="仿宋_GB2312" w:cs="仿宋_GB2312"/>
          <w:b w:val="0"/>
          <w:bCs w:val="0"/>
          <w:color w:val="auto"/>
          <w:sz w:val="32"/>
          <w:szCs w:val="32"/>
          <w:highlight w:val="none"/>
          <w:lang w:val="en-US" w:eastAsia="zh-CN"/>
        </w:rPr>
      </w:pPr>
      <w:r>
        <w:rPr>
          <w:rFonts w:hint="eastAsia" w:hAnsi="仿宋_GB2312" w:cs="仿宋_GB2312"/>
          <w:b w:val="0"/>
          <w:bCs w:val="0"/>
          <w:color w:val="auto"/>
          <w:sz w:val="32"/>
          <w:szCs w:val="32"/>
          <w:highlight w:val="none"/>
          <w:lang w:val="en-US" w:eastAsia="zh-CN"/>
        </w:rPr>
        <w:t>（五）非仲恺高新区注册登记的企业竞得土地使用权的，必须在竞得土地后2个月内在仲恺高新区市场监督管理部门注册成立项目开发公司，并以该公司名义办理土地出让与登记发证手续。</w:t>
      </w:r>
    </w:p>
    <w:p>
      <w:pPr>
        <w:pStyle w:val="2"/>
        <w:keepNext w:val="0"/>
        <w:keepLines w:val="0"/>
        <w:pageBreakBefore w:val="0"/>
        <w:widowControl/>
        <w:kinsoku/>
        <w:wordWrap/>
        <w:overflowPunct/>
        <w:topLinePunct w:val="0"/>
        <w:bidi w:val="0"/>
        <w:spacing w:line="560" w:lineRule="exact"/>
        <w:ind w:firstLine="640"/>
        <w:textAlignment w:val="auto"/>
        <w:rPr>
          <w:rFonts w:hint="eastAsia" w:hAnsi="仿宋_GB2312" w:cs="仿宋_GB2312"/>
          <w:b w:val="0"/>
          <w:bCs w:val="0"/>
          <w:color w:val="auto"/>
          <w:sz w:val="32"/>
          <w:szCs w:val="32"/>
          <w:highlight w:val="none"/>
          <w:lang w:val="en-US" w:eastAsia="zh-CN"/>
        </w:rPr>
      </w:pPr>
      <w:r>
        <w:rPr>
          <w:rFonts w:hint="default" w:ascii="Times New Roman" w:hAnsi="Times New Roman" w:eastAsia="仿宋_GB2312" w:cs="Times New Roman"/>
          <w:bCs/>
          <w:szCs w:val="32"/>
        </w:rPr>
        <w:t>（</w:t>
      </w:r>
      <w:r>
        <w:rPr>
          <w:rFonts w:hint="eastAsia" w:ascii="Times New Roman" w:hAnsi="Times New Roman" w:eastAsia="仿宋_GB2312" w:cs="Times New Roman"/>
          <w:bCs/>
          <w:szCs w:val="32"/>
          <w:lang w:val="en-US" w:eastAsia="zh-CN"/>
        </w:rPr>
        <w:t>六</w:t>
      </w:r>
      <w:r>
        <w:rPr>
          <w:rFonts w:hint="default" w:ascii="Times New Roman" w:hAnsi="Times New Roman" w:eastAsia="仿宋_GB2312" w:cs="Times New Roman"/>
          <w:bCs/>
          <w:szCs w:val="32"/>
        </w:rPr>
        <w:t>）</w:t>
      </w:r>
      <w:r>
        <w:rPr>
          <w:rFonts w:hint="eastAsia" w:ascii="仿宋_GB2312" w:hAnsi="仿宋_GB2312" w:eastAsia="仿宋_GB2312" w:cs="仿宋_GB2312"/>
          <w:b w:val="0"/>
          <w:bCs w:val="0"/>
          <w:sz w:val="32"/>
          <w:szCs w:val="32"/>
          <w:highlight w:val="none"/>
          <w:lang w:val="en-US" w:eastAsia="zh-CN"/>
        </w:rPr>
        <w:t>为推进住宅区养老服务设施建设，竞得人须配建养老服务设施建设，建成后无偿移交给仲恺高新区社会事务局；由仲恺高新区社会事务局负责提供日间照料中心建设标准、审定建设方案，并与竞得人签订日间照料中心配建及监管协议。</w:t>
      </w:r>
    </w:p>
    <w:p>
      <w:pPr>
        <w:pStyle w:val="6"/>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hAnsi="仿宋_GB2312" w:cs="仿宋_GB2312"/>
          <w:b w:val="0"/>
          <w:bCs w:val="0"/>
          <w:color w:val="auto"/>
          <w:sz w:val="32"/>
          <w:szCs w:val="32"/>
          <w:highlight w:val="none"/>
          <w:lang w:val="en-US" w:eastAsia="zh-CN"/>
        </w:rPr>
        <w:t>六、</w:t>
      </w:r>
      <w:r>
        <w:rPr>
          <w:rFonts w:hint="eastAsia" w:ascii="仿宋_GB2312" w:hAnsi="仿宋_GB2312" w:eastAsia="仿宋_GB2312" w:cs="仿宋_GB2312"/>
          <w:b w:val="0"/>
          <w:bCs w:val="0"/>
          <w:color w:val="auto"/>
          <w:sz w:val="32"/>
          <w:szCs w:val="32"/>
          <w:highlight w:val="none"/>
        </w:rPr>
        <w:t>竞买保证金</w:t>
      </w:r>
    </w:p>
    <w:p>
      <w:pPr>
        <w:pStyle w:val="6"/>
        <w:keepNext w:val="0"/>
        <w:keepLines w:val="0"/>
        <w:pageBreakBefore w:val="0"/>
        <w:widowControl w:val="0"/>
        <w:numPr>
          <w:ilvl w:val="0"/>
          <w:numId w:val="0"/>
        </w:numPr>
        <w:kinsoku/>
        <w:wordWrap/>
        <w:overflowPunct/>
        <w:topLinePunct w:val="0"/>
        <w:autoSpaceDE/>
        <w:autoSpaceDN/>
        <w:bidi w:val="0"/>
        <w:spacing w:before="0" w:line="52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hAnsi="仿宋_GB2312" w:cs="仿宋_GB2312"/>
          <w:b w:val="0"/>
          <w:bCs w:val="0"/>
          <w:color w:val="auto"/>
          <w:sz w:val="32"/>
          <w:szCs w:val="32"/>
          <w:highlight w:val="none"/>
          <w:lang w:eastAsia="zh-CN"/>
        </w:rPr>
        <w:t>（</w:t>
      </w:r>
      <w:r>
        <w:rPr>
          <w:rFonts w:hint="eastAsia" w:hAnsi="仿宋_GB2312" w:cs="仿宋_GB2312"/>
          <w:b w:val="0"/>
          <w:bCs w:val="0"/>
          <w:color w:val="auto"/>
          <w:sz w:val="32"/>
          <w:szCs w:val="32"/>
          <w:highlight w:val="none"/>
          <w:lang w:val="en-US" w:eastAsia="zh-CN"/>
        </w:rPr>
        <w:t>一</w:t>
      </w:r>
      <w:r>
        <w:rPr>
          <w:rFonts w:hint="eastAsia"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该宗地竞买保证金为人民币</w:t>
      </w:r>
      <w:r>
        <w:rPr>
          <w:rFonts w:hint="eastAsia" w:ascii="仿宋_GB2312" w:hAnsi="仿宋_GB2312" w:eastAsia="仿宋_GB2312" w:cs="仿宋_GB2312"/>
          <w:b w:val="0"/>
          <w:bCs w:val="0"/>
          <w:color w:val="auto"/>
          <w:sz w:val="32"/>
          <w:szCs w:val="32"/>
          <w:highlight w:val="none"/>
          <w:lang w:val="en-US" w:eastAsia="zh-CN"/>
        </w:rPr>
        <w:t>9296</w:t>
      </w:r>
      <w:r>
        <w:rPr>
          <w:rFonts w:hint="eastAsia" w:ascii="仿宋_GB2312" w:hAnsi="仿宋_GB2312" w:eastAsia="仿宋_GB2312" w:cs="仿宋_GB2312"/>
          <w:b w:val="0"/>
          <w:bCs w:val="0"/>
          <w:color w:val="auto"/>
          <w:sz w:val="32"/>
          <w:szCs w:val="32"/>
          <w:highlight w:val="none"/>
        </w:rPr>
        <w:t>万元</w:t>
      </w:r>
      <w:r>
        <w:rPr>
          <w:rFonts w:hint="eastAsia" w:hAnsi="仿宋_GB2312" w:cs="仿宋_GB2312"/>
          <w:b w:val="0"/>
          <w:bCs w:val="0"/>
          <w:color w:val="auto"/>
          <w:sz w:val="32"/>
          <w:szCs w:val="32"/>
          <w:highlight w:val="none"/>
          <w:lang w:eastAsia="zh-CN"/>
        </w:rPr>
        <w:t>。</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申请人应当在网上挂牌出让竞买保证金到账截止时间前登录惠州市公共资源交易中心土地与矿业网上挂牌交易系统（以下简称“网上挂牌交易系统”</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网址：</w:t>
      </w:r>
      <w:r>
        <w:rPr>
          <w:rFonts w:hint="eastAsia" w:ascii="仿宋_GB2312" w:hAnsi="仿宋_GB2312" w:eastAsia="仿宋_GB2312" w:cs="仿宋_GB2312"/>
          <w:b w:val="0"/>
          <w:bCs w:val="0"/>
          <w:color w:val="auto"/>
          <w:sz w:val="32"/>
          <w:szCs w:val="32"/>
          <w:highlight w:val="none"/>
        </w:rPr>
        <w:t>https://www.hzgtjy.com/）获取竞买保证金支付账号。</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竞买保证金到账时间以网上挂牌交易系统确认并发出《保证金到账通知书》为准。</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七、</w:t>
      </w:r>
      <w:r>
        <w:rPr>
          <w:rFonts w:hint="eastAsia" w:ascii="仿宋_GB2312" w:hAnsi="仿宋_GB2312" w:eastAsia="仿宋_GB2312" w:cs="仿宋_GB2312"/>
          <w:b w:val="0"/>
          <w:bCs w:val="0"/>
          <w:color w:val="auto"/>
          <w:sz w:val="32"/>
          <w:szCs w:val="32"/>
          <w:highlight w:val="none"/>
        </w:rPr>
        <w:t>竞买申请</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本宗国有建设用地使用权网上挂牌出让只接受网上竞买申请，即通过网上挂牌交易系统进行，不接受电话、邮寄、书面、电子邮件及口头竞买。凡</w:t>
      </w:r>
      <w:r>
        <w:rPr>
          <w:rFonts w:hint="eastAsia" w:ascii="仿宋_GB2312" w:hAnsi="仿宋_GB2312" w:eastAsia="仿宋_GB2312" w:cs="仿宋_GB2312"/>
          <w:b w:val="0"/>
          <w:bCs w:val="0"/>
          <w:color w:val="auto"/>
          <w:sz w:val="32"/>
          <w:szCs w:val="32"/>
          <w:highlight w:val="none"/>
          <w:lang w:val="en-US" w:eastAsia="zh-CN"/>
        </w:rPr>
        <w:t>符合竞买资格要求并</w:t>
      </w:r>
      <w:r>
        <w:rPr>
          <w:rFonts w:hint="eastAsia" w:ascii="仿宋_GB2312" w:hAnsi="仿宋_GB2312" w:eastAsia="仿宋_GB2312" w:cs="仿宋_GB2312"/>
          <w:b w:val="0"/>
          <w:bCs w:val="0"/>
          <w:color w:val="auto"/>
          <w:sz w:val="32"/>
          <w:szCs w:val="32"/>
          <w:highlight w:val="none"/>
        </w:rPr>
        <w:t>办理数字证书、按要求足额交纳竞买保证金的申请人，方可参加网上挂牌交易活动。</w:t>
      </w:r>
    </w:p>
    <w:p>
      <w:pPr>
        <w:pStyle w:val="5"/>
        <w:keepNext w:val="0"/>
        <w:keepLines w:val="0"/>
        <w:pageBreakBefore w:val="0"/>
        <w:kinsoku/>
        <w:wordWrap/>
        <w:overflowPunct/>
        <w:topLinePunct w:val="0"/>
        <w:autoSpaceDE/>
        <w:autoSpaceDN/>
        <w:bidi w:val="0"/>
        <w:spacing w:line="52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本宗国有建设用地使用权网上挂牌出让实行竞买资格后置审查。竞买申请人交纳足额竞买保证金即获得竞买报价权限。</w:t>
      </w:r>
    </w:p>
    <w:p>
      <w:pPr>
        <w:pStyle w:val="6"/>
        <w:keepNext w:val="0"/>
        <w:keepLines w:val="0"/>
        <w:pageBreakBefore w:val="0"/>
        <w:widowControl w:val="0"/>
        <w:kinsoku/>
        <w:wordWrap/>
        <w:overflowPunct/>
        <w:topLinePunct w:val="0"/>
        <w:autoSpaceDE/>
        <w:autoSpaceDN/>
        <w:bidi w:val="0"/>
        <w:spacing w:before="0" w:line="520" w:lineRule="exact"/>
        <w:ind w:left="0" w:lef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hAnsi="仿宋_GB2312" w:cs="仿宋_GB2312"/>
          <w:b w:val="0"/>
          <w:bCs w:val="0"/>
          <w:color w:val="auto"/>
          <w:sz w:val="32"/>
          <w:szCs w:val="32"/>
          <w:highlight w:val="none"/>
          <w:lang w:val="en-US" w:eastAsia="zh-CN"/>
        </w:rPr>
        <w:t>八、</w:t>
      </w:r>
      <w:r>
        <w:rPr>
          <w:rFonts w:hint="eastAsia" w:ascii="仿宋_GB2312" w:hAnsi="仿宋_GB2312" w:eastAsia="仿宋_GB2312" w:cs="仿宋_GB2312"/>
          <w:b w:val="0"/>
          <w:bCs w:val="0"/>
          <w:color w:val="auto"/>
          <w:sz w:val="32"/>
          <w:szCs w:val="32"/>
          <w:highlight w:val="none"/>
        </w:rPr>
        <w:t>竞买人电子报价</w:t>
      </w:r>
      <w:r>
        <w:rPr>
          <w:rFonts w:hint="eastAsia"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电子限时竞价</w:t>
      </w:r>
      <w:r>
        <w:rPr>
          <w:rFonts w:hint="eastAsia" w:hAnsi="仿宋_GB2312" w:cs="仿宋_GB2312"/>
          <w:b w:val="0"/>
          <w:bCs w:val="0"/>
          <w:color w:val="auto"/>
          <w:sz w:val="32"/>
          <w:szCs w:val="32"/>
          <w:highlight w:val="none"/>
          <w:lang w:val="en-US" w:eastAsia="zh-CN"/>
        </w:rPr>
        <w:t>及摇号</w:t>
      </w:r>
    </w:p>
    <w:p>
      <w:pPr>
        <w:pStyle w:val="5"/>
        <w:keepNext w:val="0"/>
        <w:keepLines w:val="0"/>
        <w:pageBreakBefore w:val="0"/>
        <w:kinsoku/>
        <w:wordWrap/>
        <w:overflowPunct/>
        <w:topLinePunct w:val="0"/>
        <w:autoSpaceDE/>
        <w:autoSpaceDN/>
        <w:bidi w:val="0"/>
        <w:spacing w:line="520" w:lineRule="exact"/>
        <w:ind w:firstLine="579" w:firstLineChars="181"/>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sz w:val="32"/>
          <w:szCs w:val="32"/>
          <w:highlight w:val="none"/>
        </w:rPr>
        <w:t>竞买人须详细阅读本宗地网上挂牌出让公告、竞买须知及网上挂牌交易系统操作指南，熟练操作网上挂牌交易系统，按竞买规则进行电子报价及电子限时竞价。</w:t>
      </w:r>
    </w:p>
    <w:p>
      <w:pPr>
        <w:pStyle w:val="5"/>
        <w:keepNext w:val="0"/>
        <w:keepLines w:val="0"/>
        <w:pageBreakBefore w:val="0"/>
        <w:kinsoku/>
        <w:wordWrap/>
        <w:overflowPunct/>
        <w:topLinePunct w:val="0"/>
        <w:autoSpaceDE/>
        <w:autoSpaceDN/>
        <w:bidi w:val="0"/>
        <w:spacing w:line="52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九、</w:t>
      </w:r>
      <w:r>
        <w:rPr>
          <w:rFonts w:hint="eastAsia" w:ascii="仿宋_GB2312" w:hAnsi="仿宋_GB2312" w:eastAsia="仿宋_GB2312" w:cs="仿宋_GB2312"/>
          <w:b w:val="0"/>
          <w:bCs w:val="0"/>
          <w:color w:val="auto"/>
          <w:sz w:val="32"/>
          <w:szCs w:val="32"/>
          <w:highlight w:val="none"/>
        </w:rPr>
        <w:t>确定成交候选人</w:t>
      </w:r>
    </w:p>
    <w:p>
      <w:pPr>
        <w:pStyle w:val="5"/>
        <w:keepNext w:val="0"/>
        <w:keepLines w:val="0"/>
        <w:pageBreakBefore w:val="0"/>
        <w:kinsoku/>
        <w:wordWrap/>
        <w:overflowPunct/>
        <w:topLinePunct w:val="0"/>
        <w:autoSpaceDE/>
        <w:autoSpaceDN/>
        <w:bidi w:val="0"/>
        <w:spacing w:line="52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w:t>
      </w:r>
      <w:r>
        <w:rPr>
          <w:rFonts w:hint="eastAsia" w:ascii="仿宋_GB2312" w:hAnsi="仿宋_GB2312" w:eastAsia="仿宋_GB2312" w:cs="仿宋_GB2312"/>
          <w:b w:val="0"/>
          <w:bCs w:val="0"/>
          <w:color w:val="auto"/>
          <w:sz w:val="32"/>
          <w:szCs w:val="32"/>
          <w:highlight w:val="none"/>
          <w:lang w:eastAsia="zh-CN"/>
        </w:rPr>
        <w:t>宗</w:t>
      </w:r>
      <w:r>
        <w:rPr>
          <w:rFonts w:hint="eastAsia" w:ascii="仿宋_GB2312" w:hAnsi="仿宋_GB2312" w:eastAsia="仿宋_GB2312" w:cs="仿宋_GB2312"/>
          <w:b w:val="0"/>
          <w:bCs w:val="0"/>
          <w:color w:val="auto"/>
          <w:sz w:val="32"/>
          <w:szCs w:val="32"/>
          <w:highlight w:val="none"/>
        </w:rPr>
        <w:t>国有建设用地使用权网上挂牌出让为无底价挂牌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采取</w:t>
      </w:r>
      <w:r>
        <w:rPr>
          <w:rFonts w:hint="eastAsia" w:ascii="仿宋_GB2312" w:hAnsi="仿宋_GB2312" w:eastAsia="仿宋_GB2312" w:cs="仿宋_GB2312"/>
          <w:b w:val="0"/>
          <w:bCs/>
          <w:sz w:val="32"/>
          <w:szCs w:val="32"/>
          <w:lang w:eastAsia="zh-CN"/>
        </w:rPr>
        <w:t>“限地价、摇号”</w:t>
      </w:r>
      <w:r>
        <w:rPr>
          <w:rFonts w:hint="eastAsia" w:ascii="仿宋_GB2312" w:hAnsi="仿宋_GB2312" w:eastAsia="仿宋_GB2312" w:cs="仿宋_GB2312"/>
          <w:b w:val="0"/>
          <w:bCs w:val="0"/>
          <w:color w:val="auto"/>
          <w:sz w:val="32"/>
          <w:szCs w:val="32"/>
          <w:highlight w:val="none"/>
        </w:rPr>
        <w:t>方式出让并确定成交候选人。</w:t>
      </w:r>
    </w:p>
    <w:p>
      <w:pPr>
        <w:pStyle w:val="5"/>
        <w:keepNext w:val="0"/>
        <w:keepLines w:val="0"/>
        <w:pageBreakBefore w:val="0"/>
        <w:kinsoku/>
        <w:wordWrap/>
        <w:overflowPunct/>
        <w:topLinePunct w:val="0"/>
        <w:autoSpaceDE/>
        <w:autoSpaceDN/>
        <w:bidi w:val="0"/>
        <w:spacing w:line="52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十、</w:t>
      </w:r>
      <w:r>
        <w:rPr>
          <w:rFonts w:hint="eastAsia" w:ascii="仿宋_GB2312" w:hAnsi="仿宋_GB2312" w:eastAsia="仿宋_GB2312" w:cs="仿宋_GB2312"/>
          <w:b w:val="0"/>
          <w:bCs w:val="0"/>
          <w:color w:val="auto"/>
          <w:sz w:val="32"/>
          <w:szCs w:val="32"/>
          <w:highlight w:val="none"/>
        </w:rPr>
        <w:t>资格审查</w:t>
      </w:r>
    </w:p>
    <w:p>
      <w:pPr>
        <w:pStyle w:val="5"/>
        <w:keepNext w:val="0"/>
        <w:keepLines w:val="0"/>
        <w:pageBreakBefore w:val="0"/>
        <w:kinsoku/>
        <w:wordWrap/>
        <w:overflowPunct/>
        <w:topLinePunct w:val="0"/>
        <w:autoSpaceDE/>
        <w:autoSpaceDN/>
        <w:bidi w:val="0"/>
        <w:spacing w:line="52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成交候选人应在网上挂牌交易系统确定成交候选人之日起</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个工作日内将竞买申请纸质材料提交至我局，由我局对竞买资格进行审查。我局将</w:t>
      </w:r>
      <w:r>
        <w:rPr>
          <w:rFonts w:hint="eastAsia" w:ascii="仿宋_GB2312" w:hAnsi="仿宋_GB2312" w:eastAsia="仿宋_GB2312" w:cs="仿宋_GB2312"/>
          <w:b w:val="0"/>
          <w:bCs w:val="0"/>
          <w:color w:val="auto"/>
          <w:sz w:val="32"/>
          <w:szCs w:val="32"/>
          <w:highlight w:val="none"/>
          <w:u w:val="none"/>
        </w:rPr>
        <w:t>于</w:t>
      </w:r>
      <w:r>
        <w:rPr>
          <w:rFonts w:hint="eastAsia" w:ascii="仿宋_GB2312" w:hAnsi="仿宋_GB2312" w:eastAsia="仿宋_GB2312" w:cs="仿宋_GB2312"/>
          <w:b w:val="0"/>
          <w:bCs w:val="0"/>
          <w:color w:val="auto"/>
          <w:sz w:val="32"/>
          <w:szCs w:val="32"/>
          <w:highlight w:val="none"/>
          <w:u w:val="none"/>
          <w:lang w:val="en-US" w:eastAsia="zh-CN"/>
        </w:rPr>
        <w:t>2022</w:t>
      </w:r>
      <w:r>
        <w:rPr>
          <w:rFonts w:hint="eastAsia" w:ascii="仿宋_GB2312" w:hAnsi="仿宋_GB2312" w:eastAsia="仿宋_GB2312" w:cs="仿宋_GB2312"/>
          <w:b w:val="0"/>
          <w:bCs w:val="0"/>
          <w:color w:val="auto"/>
          <w:sz w:val="32"/>
          <w:szCs w:val="32"/>
          <w:highlight w:val="none"/>
          <w:u w:val="none"/>
        </w:rPr>
        <w:t>年</w:t>
      </w:r>
      <w:r>
        <w:rPr>
          <w:rFonts w:hint="eastAsia" w:ascii="仿宋_GB2312" w:hAnsi="仿宋_GB2312" w:eastAsia="仿宋_GB2312" w:cs="仿宋_GB2312"/>
          <w:b w:val="0"/>
          <w:bCs w:val="0"/>
          <w:color w:val="auto"/>
          <w:sz w:val="32"/>
          <w:szCs w:val="32"/>
          <w:highlight w:val="none"/>
          <w:u w:val="none"/>
          <w:lang w:val="en-US" w:eastAsia="zh-CN"/>
        </w:rPr>
        <w:t>10</w:t>
      </w:r>
      <w:r>
        <w:rPr>
          <w:rFonts w:hint="eastAsia" w:ascii="仿宋_GB2312" w:hAnsi="仿宋_GB2312" w:eastAsia="仿宋_GB2312" w:cs="仿宋_GB2312"/>
          <w:b w:val="0"/>
          <w:bCs w:val="0"/>
          <w:color w:val="auto"/>
          <w:sz w:val="32"/>
          <w:szCs w:val="32"/>
          <w:highlight w:val="none"/>
          <w:u w:val="none"/>
        </w:rPr>
        <w:t>月</w:t>
      </w:r>
      <w:r>
        <w:rPr>
          <w:rFonts w:hint="eastAsia" w:ascii="仿宋_GB2312" w:hAnsi="仿宋_GB2312" w:eastAsia="仿宋_GB2312" w:cs="仿宋_GB2312"/>
          <w:b w:val="0"/>
          <w:bCs w:val="0"/>
          <w:color w:val="auto"/>
          <w:sz w:val="32"/>
          <w:szCs w:val="32"/>
          <w:highlight w:val="none"/>
          <w:u w:val="none"/>
          <w:lang w:val="en-US" w:eastAsia="zh-CN"/>
        </w:rPr>
        <w:t>26</w:t>
      </w:r>
      <w:r>
        <w:rPr>
          <w:rFonts w:hint="eastAsia" w:ascii="仿宋_GB2312" w:hAnsi="仿宋_GB2312" w:eastAsia="仿宋_GB2312" w:cs="仿宋_GB2312"/>
          <w:b w:val="0"/>
          <w:bCs w:val="0"/>
          <w:color w:val="auto"/>
          <w:sz w:val="32"/>
          <w:szCs w:val="32"/>
          <w:highlight w:val="none"/>
          <w:u w:val="none"/>
        </w:rPr>
        <w:t>日</w:t>
      </w:r>
      <w:r>
        <w:rPr>
          <w:rFonts w:hint="eastAsia" w:ascii="仿宋_GB2312" w:hAnsi="仿宋_GB2312" w:eastAsia="仿宋_GB2312" w:cs="仿宋_GB2312"/>
          <w:b w:val="0"/>
          <w:bCs w:val="0"/>
          <w:color w:val="auto"/>
          <w:sz w:val="32"/>
          <w:szCs w:val="32"/>
          <w:highlight w:val="none"/>
        </w:rPr>
        <w:t xml:space="preserve">前确定符合竞买资格的成交候选人为竞得人。 </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成交候选人资格审查须提交下列材料：</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一</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《竞买申请书》（加盖公章）；</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二</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《竞价结果通知书》（加盖公章）；</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三</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《竞买保证金到账通知书》（加盖公章）；</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四</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竞买保证金转账凭证复印件（加盖公章）；</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五</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申请竞买人有效的《营业执照》复印件（加盖公章）；</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六</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法定代表人身份证复印件（加盖公章）；</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七</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授权他人代理的授权委托书及代理人身份证复印件（核对原件）</w:t>
      </w:r>
      <w:r>
        <w:rPr>
          <w:rFonts w:hint="eastAsia" w:ascii="仿宋_GB2312" w:hAnsi="仿宋_GB2312" w:eastAsia="仿宋_GB2312" w:cs="仿宋_GB2312"/>
          <w:b w:val="0"/>
          <w:bCs w:val="0"/>
          <w:color w:val="auto"/>
          <w:kern w:val="2"/>
          <w:sz w:val="32"/>
          <w:szCs w:val="32"/>
          <w:highlight w:val="none"/>
          <w:lang w:eastAsia="zh-CN"/>
        </w:rPr>
        <w:t>。</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（八）房地产开发资质材料;</w:t>
      </w:r>
    </w:p>
    <w:p>
      <w:pPr>
        <w:pStyle w:val="9"/>
        <w:keepNext w:val="0"/>
        <w:keepLines w:val="0"/>
        <w:pageBreakBefore w:val="0"/>
        <w:widowControl/>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rPr>
      </w:pPr>
      <w:r>
        <w:rPr>
          <w:rFonts w:hint="eastAsia" w:ascii="仿宋_GB2312" w:hAnsi="仿宋_GB2312" w:eastAsia="仿宋_GB2312" w:cs="仿宋_GB2312"/>
          <w:b w:val="0"/>
          <w:bCs w:val="0"/>
          <w:color w:val="auto"/>
          <w:kern w:val="2"/>
          <w:sz w:val="32"/>
          <w:szCs w:val="32"/>
          <w:highlight w:val="none"/>
          <w:lang w:val="en-US" w:eastAsia="zh-CN"/>
        </w:rPr>
        <w:t>（九）购地资金来源承诺书；</w:t>
      </w:r>
    </w:p>
    <w:p>
      <w:pPr>
        <w:keepNext w:val="0"/>
        <w:keepLines w:val="0"/>
        <w:pageBreakBefore w:val="0"/>
        <w:kinsoku/>
        <w:wordWrap/>
        <w:overflowPunct/>
        <w:topLinePunct w:val="0"/>
        <w:autoSpaceDE/>
        <w:autoSpaceDN/>
        <w:bidi w:val="0"/>
        <w:spacing w:line="520" w:lineRule="exact"/>
        <w:ind w:firstLine="555"/>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十一、</w:t>
      </w:r>
      <w:r>
        <w:rPr>
          <w:rFonts w:hint="eastAsia" w:ascii="仿宋_GB2312" w:hAnsi="仿宋_GB2312" w:eastAsia="仿宋_GB2312" w:cs="仿宋_GB2312"/>
          <w:b w:val="0"/>
          <w:bCs w:val="0"/>
          <w:color w:val="auto"/>
          <w:sz w:val="32"/>
          <w:szCs w:val="32"/>
          <w:highlight w:val="none"/>
        </w:rPr>
        <w:t>签订成交确认书</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出让合同</w:t>
      </w:r>
      <w:r>
        <w:rPr>
          <w:rFonts w:hint="eastAsia" w:ascii="仿宋_GB2312" w:hAnsi="仿宋_GB2312" w:eastAsia="仿宋_GB2312" w:cs="仿宋_GB2312"/>
          <w:b w:val="0"/>
          <w:bCs w:val="0"/>
          <w:color w:val="auto"/>
          <w:sz w:val="32"/>
          <w:szCs w:val="32"/>
          <w:highlight w:val="none"/>
          <w:lang w:val="en-US" w:eastAsia="zh-CN"/>
        </w:rPr>
        <w:t>及支付土地出让金</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竞得人应在接到竞得人确定通知之日起</w:t>
      </w: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仿宋_GB2312" w:eastAsia="仿宋_GB2312" w:cs="仿宋_GB2312"/>
          <w:b w:val="0"/>
          <w:bCs w:val="0"/>
          <w:color w:val="auto"/>
          <w:sz w:val="32"/>
          <w:szCs w:val="32"/>
          <w:highlight w:val="none"/>
        </w:rPr>
        <w:t>个工作日内</w:t>
      </w:r>
      <w:r>
        <w:rPr>
          <w:rFonts w:hint="eastAsia" w:ascii="仿宋_GB2312" w:hAnsi="仿宋_GB2312" w:eastAsia="仿宋_GB2312" w:cs="仿宋_GB2312"/>
          <w:b w:val="0"/>
          <w:bCs w:val="0"/>
          <w:color w:val="auto"/>
          <w:sz w:val="32"/>
          <w:szCs w:val="32"/>
          <w:highlight w:val="none"/>
          <w:lang w:eastAsia="zh-CN"/>
        </w:rPr>
        <w:t>与我局、</w:t>
      </w:r>
      <w:r>
        <w:rPr>
          <w:rFonts w:hint="eastAsia" w:ascii="仿宋_GB2312" w:hAnsi="仿宋_GB2312" w:eastAsia="仿宋_GB2312" w:cs="仿宋_GB2312"/>
          <w:b w:val="0"/>
          <w:bCs w:val="0"/>
          <w:color w:val="auto"/>
          <w:sz w:val="32"/>
          <w:szCs w:val="32"/>
          <w:highlight w:val="none"/>
          <w:lang w:val="en-US" w:eastAsia="zh-CN"/>
        </w:rPr>
        <w:t>惠州市公共资源交易中心仲恺分中心</w:t>
      </w:r>
      <w:r>
        <w:rPr>
          <w:rFonts w:hint="eastAsia" w:ascii="仿宋_GB2312" w:hAnsi="仿宋_GB2312" w:eastAsia="仿宋_GB2312" w:cs="仿宋_GB2312"/>
          <w:b w:val="0"/>
          <w:bCs w:val="0"/>
          <w:color w:val="auto"/>
          <w:sz w:val="32"/>
          <w:szCs w:val="32"/>
          <w:highlight w:val="none"/>
        </w:rPr>
        <w:t>签订《成交确认书》，签订《成交确认书》之日起5个工作日内，须向</w:t>
      </w:r>
      <w:r>
        <w:rPr>
          <w:rFonts w:hint="eastAsia" w:ascii="仿宋_GB2312" w:hAnsi="仿宋_GB2312" w:eastAsia="仿宋_GB2312" w:cs="仿宋_GB2312"/>
          <w:b w:val="0"/>
          <w:bCs w:val="0"/>
          <w:color w:val="auto"/>
          <w:sz w:val="32"/>
          <w:szCs w:val="32"/>
          <w:highlight w:val="none"/>
          <w:lang w:val="en-US" w:eastAsia="zh-CN"/>
        </w:rPr>
        <w:t>我</w:t>
      </w:r>
      <w:r>
        <w:rPr>
          <w:rFonts w:hint="eastAsia" w:ascii="仿宋_GB2312" w:hAnsi="仿宋_GB2312" w:eastAsia="仿宋_GB2312" w:cs="仿宋_GB2312"/>
          <w:b w:val="0"/>
          <w:bCs w:val="0"/>
          <w:color w:val="auto"/>
          <w:sz w:val="32"/>
          <w:szCs w:val="32"/>
          <w:highlight w:val="none"/>
        </w:rPr>
        <w:t>局提交申请受让国有建设用地使用权的有关材料；签订《成交确认书》之日起10个工作日内，须与</w:t>
      </w:r>
      <w:r>
        <w:rPr>
          <w:rFonts w:hint="eastAsia" w:ascii="仿宋_GB2312" w:hAnsi="仿宋_GB2312" w:eastAsia="仿宋_GB2312" w:cs="仿宋_GB2312"/>
          <w:b w:val="0"/>
          <w:bCs w:val="0"/>
          <w:color w:val="auto"/>
          <w:sz w:val="32"/>
          <w:szCs w:val="32"/>
          <w:highlight w:val="none"/>
          <w:lang w:val="en-US" w:eastAsia="zh-CN"/>
        </w:rPr>
        <w:t>我局</w:t>
      </w:r>
      <w:r>
        <w:rPr>
          <w:rFonts w:hint="eastAsia" w:ascii="仿宋_GB2312" w:hAnsi="仿宋_GB2312" w:eastAsia="仿宋_GB2312" w:cs="仿宋_GB2312"/>
          <w:b w:val="0"/>
          <w:bCs w:val="0"/>
          <w:color w:val="auto"/>
          <w:sz w:val="32"/>
          <w:szCs w:val="32"/>
          <w:highlight w:val="none"/>
        </w:rPr>
        <w:t>签订《出让合同》。土地出让金于《出让合同》签订之日起30日内一次性付清。竞得人逾期不签订《出让合同》的或已签《出让合同》不缴纳成交价款的，必须收回土地，并按规定处罚。</w:t>
      </w:r>
    </w:p>
    <w:p>
      <w:pPr>
        <w:keepNext w:val="0"/>
        <w:keepLines w:val="0"/>
        <w:pageBreakBefore w:val="0"/>
        <w:kinsoku/>
        <w:wordWrap/>
        <w:overflowPunct/>
        <w:topLinePunct w:val="0"/>
        <w:autoSpaceDE/>
        <w:autoSpaceDN/>
        <w:bidi w:val="0"/>
        <w:spacing w:line="520" w:lineRule="exact"/>
        <w:ind w:firstLine="555"/>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付清出让金及有关税费后，竞得人可申请办理建设用地审批及土地登记发证手续。</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十二、</w:t>
      </w:r>
      <w:r>
        <w:rPr>
          <w:rFonts w:hint="eastAsia" w:ascii="仿宋_GB2312" w:hAnsi="仿宋_GB2312" w:eastAsia="仿宋_GB2312" w:cs="仿宋_GB2312"/>
          <w:b w:val="0"/>
          <w:bCs w:val="0"/>
          <w:color w:val="auto"/>
          <w:sz w:val="32"/>
          <w:szCs w:val="32"/>
          <w:highlight w:val="none"/>
        </w:rPr>
        <w:t>竞买保证金退还或转付成交价款</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未成功竞得的竞买人所交竞买保证金，在5个工作日内予以退还；若违法违规竞买的，按有关规定处罚后予以退还。</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竞得人签订《成交确认书》后，缴交的保证金中按成交价的20%转作定金;竞得人逾期或拒绝签订《出让合同》的，定金不予退还。竞得人签订《出让合同》后，定金转作土地出让价款。</w:t>
      </w:r>
    </w:p>
    <w:p>
      <w:pPr>
        <w:pStyle w:val="5"/>
        <w:keepNext w:val="0"/>
        <w:keepLines w:val="0"/>
        <w:pageBreakBefore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rPr>
        <w:t>、违规责任</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成交候选人（或竞得人）有下列行为之一的，取消候选人资格（或竞得资格），竞价结果无效，竞买保证金不予退还,造成损失的，成交候选人（或竞得人）还应依法承担赔偿责任：</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不符合竞买资格条件的；</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提供虚假文件材料，隐瞒重要事实的；</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采取行贿、恶意串通等非法手段竞得的；</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无正当理由逾期或拒绝签订成交确认书的；</w:t>
      </w:r>
    </w:p>
    <w:p>
      <w:pPr>
        <w:pStyle w:val="5"/>
        <w:keepNext w:val="0"/>
        <w:keepLines w:val="0"/>
        <w:pageBreakBefore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bCs w:val="0"/>
          <w:color w:val="auto"/>
          <w:sz w:val="32"/>
          <w:szCs w:val="32"/>
          <w:highlight w:val="none"/>
          <w:lang w:eastAsia="zh-CN"/>
        </w:rPr>
        <w:t>四</w:t>
      </w:r>
      <w:r>
        <w:rPr>
          <w:rFonts w:hint="eastAsia" w:ascii="仿宋_GB2312" w:hAnsi="仿宋_GB2312" w:eastAsia="仿宋_GB2312" w:cs="仿宋_GB2312"/>
          <w:b w:val="0"/>
          <w:bCs w:val="0"/>
          <w:color w:val="auto"/>
          <w:sz w:val="32"/>
          <w:szCs w:val="32"/>
          <w:highlight w:val="none"/>
        </w:rPr>
        <w:t>、其他需要公告的事项</w:t>
      </w:r>
    </w:p>
    <w:p>
      <w:pPr>
        <w:keepNext w:val="0"/>
        <w:keepLines w:val="0"/>
        <w:pageBreakBefore w:val="0"/>
        <w:kinsoku/>
        <w:wordWrap/>
        <w:overflowPunct/>
        <w:topLinePunct w:val="0"/>
        <w:autoSpaceDE/>
        <w:autoSpaceDN/>
        <w:bidi w:val="0"/>
        <w:spacing w:line="520" w:lineRule="exact"/>
        <w:ind w:firstLine="555"/>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（一）本宗地网上挂牌出让的详细资料和具体要求，见网上挂牌交易系统。申请人可在网上挂牌交易系统下载挂牌出让公告、须知及相关交易文件。</w:t>
      </w:r>
    </w:p>
    <w:p>
      <w:pPr>
        <w:pStyle w:val="5"/>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（二）有意竞买者可以自行到地块现场踏勘（可在网上挂牌交易系统查阅</w:t>
      </w:r>
      <w:r>
        <w:rPr>
          <w:rFonts w:hint="eastAsia" w:ascii="仿宋_GB2312" w:hAnsi="仿宋_GB2312" w:eastAsia="仿宋_GB2312" w:cs="仿宋_GB2312"/>
          <w:b w:val="0"/>
          <w:bCs w:val="0"/>
          <w:color w:val="auto"/>
          <w:sz w:val="32"/>
          <w:szCs w:val="32"/>
          <w:highlight w:val="none"/>
          <w:lang w:val="en-US" w:eastAsia="zh-CN"/>
        </w:rPr>
        <w:t>用地红线图</w:t>
      </w:r>
      <w:r>
        <w:rPr>
          <w:rFonts w:hint="eastAsia" w:ascii="仿宋_GB2312" w:hAnsi="仿宋_GB2312" w:eastAsia="仿宋_GB2312" w:cs="仿宋_GB2312"/>
          <w:b w:val="0"/>
          <w:bCs w:val="0"/>
          <w:color w:val="auto"/>
          <w:sz w:val="32"/>
          <w:szCs w:val="32"/>
          <w:highlight w:val="none"/>
        </w:rPr>
        <w:t>）。</w:t>
      </w:r>
    </w:p>
    <w:p>
      <w:pPr>
        <w:pStyle w:val="5"/>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（三）竞买申请一经受理确认后，即视为竞买人对网上挂牌出让公告、须知、相关交易文件及地块现状无异议并全部接受，并对有关承诺承担法律责任。</w:t>
      </w:r>
    </w:p>
    <w:p>
      <w:pPr>
        <w:pStyle w:val="5"/>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（四）地块动工竣工时间及地块交付时间</w:t>
      </w:r>
    </w:p>
    <w:p>
      <w:pPr>
        <w:pStyle w:val="5"/>
        <w:keepNext w:val="0"/>
        <w:keepLines w:val="0"/>
        <w:pageBreakBefore w:val="0"/>
        <w:kinsoku/>
        <w:wordWrap/>
        <w:overflowPunct/>
        <w:topLinePunct w:val="0"/>
        <w:autoSpaceDE/>
        <w:autoSpaceDN/>
        <w:bidi w:val="0"/>
        <w:spacing w:line="52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《出让合同》签订之日交付土地；动工时间为土地交付之日起1年内，竣工时间为土地交付之日起3年内。</w:t>
      </w:r>
    </w:p>
    <w:p>
      <w:pPr>
        <w:keepNext w:val="0"/>
        <w:keepLines w:val="0"/>
        <w:pageBreakBefore w:val="0"/>
        <w:numPr>
          <w:ilvl w:val="0"/>
          <w:numId w:val="0"/>
        </w:numPr>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（五）该宗地交易全程适用</w:t>
      </w:r>
      <w:r>
        <w:rPr>
          <w:rFonts w:hint="eastAsia" w:ascii="仿宋_GB2312" w:hAnsi="仿宋_GB2312" w:eastAsia="仿宋_GB2312" w:cs="仿宋_GB2312"/>
          <w:b w:val="0"/>
          <w:bCs w:val="0"/>
          <w:color w:val="auto"/>
          <w:sz w:val="32"/>
          <w:szCs w:val="32"/>
          <w:highlight w:val="none"/>
        </w:rPr>
        <w:t>《惠州市政务服务数据管理局</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惠州市公共资源交易中心公共资源电子交易规则》</w:t>
      </w:r>
      <w:r>
        <w:rPr>
          <w:rFonts w:hint="eastAsia" w:ascii="仿宋_GB2312" w:hAnsi="仿宋_GB2312" w:eastAsia="仿宋_GB2312" w:cs="仿宋_GB2312"/>
          <w:b w:val="0"/>
          <w:bCs w:val="0"/>
          <w:color w:val="auto"/>
          <w:sz w:val="32"/>
          <w:szCs w:val="32"/>
          <w:highlight w:val="none"/>
          <w:lang w:val="en-US" w:eastAsia="zh-CN"/>
        </w:rPr>
        <w:t>（惠市政数〔2022〕3号）。</w:t>
      </w:r>
    </w:p>
    <w:p>
      <w:pPr>
        <w:keepNext w:val="0"/>
        <w:keepLines w:val="0"/>
        <w:pageBreakBefore w:val="0"/>
        <w:numPr>
          <w:ilvl w:val="0"/>
          <w:numId w:val="0"/>
        </w:numPr>
        <w:kinsoku/>
        <w:wordWrap/>
        <w:overflowPunct/>
        <w:topLinePunct w:val="0"/>
        <w:autoSpaceDE/>
        <w:autoSpaceDN/>
        <w:bidi w:val="0"/>
        <w:spacing w:line="520" w:lineRule="exact"/>
        <w:ind w:leftChars="200" w:firstLine="320" w:firstLineChars="1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十五、</w:t>
      </w:r>
      <w:r>
        <w:rPr>
          <w:rFonts w:hint="eastAsia" w:ascii="仿宋_GB2312" w:hAnsi="仿宋_GB2312" w:eastAsia="仿宋_GB2312" w:cs="仿宋_GB2312"/>
          <w:b w:val="0"/>
          <w:bCs w:val="0"/>
          <w:color w:val="auto"/>
          <w:sz w:val="32"/>
          <w:szCs w:val="32"/>
          <w:highlight w:val="none"/>
        </w:rPr>
        <w:t>联系方式：</w:t>
      </w:r>
    </w:p>
    <w:p>
      <w:pPr>
        <w:keepNext w:val="0"/>
        <w:keepLines w:val="0"/>
        <w:pageBreakBefore w:val="0"/>
        <w:kinsoku/>
        <w:wordWrap/>
        <w:overflowPunct/>
        <w:topLinePunct w:val="0"/>
        <w:autoSpaceDE/>
        <w:autoSpaceDN/>
        <w:bidi w:val="0"/>
        <w:spacing w:line="520" w:lineRule="exact"/>
        <w:ind w:right="640" w:firstLine="640" w:firstLineChars="200"/>
        <w:textAlignment w:val="auto"/>
        <w:rPr>
          <w:rFonts w:hint="eastAsia" w:ascii="仿宋_GB2312" w:hAnsi="仿宋_GB2312" w:eastAsia="仿宋_GB2312" w:cs="仿宋_GB2312"/>
          <w:b w:val="0"/>
          <w:bCs w:val="0"/>
          <w:color w:val="auto"/>
          <w:sz w:val="32"/>
          <w:szCs w:val="32"/>
          <w:highlight w:val="none"/>
          <w:u w:val="single"/>
        </w:rPr>
      </w:pPr>
      <w:r>
        <w:rPr>
          <w:rFonts w:hint="eastAsia" w:ascii="仿宋_GB2312" w:hAnsi="仿宋_GB2312" w:eastAsia="仿宋_GB2312" w:cs="仿宋_GB2312"/>
          <w:b w:val="0"/>
          <w:bCs w:val="0"/>
          <w:color w:val="auto"/>
          <w:sz w:val="32"/>
          <w:szCs w:val="32"/>
          <w:highlight w:val="none"/>
        </w:rPr>
        <w:t>出让方：惠州市仲恺高新区国土资源分局</w:t>
      </w:r>
    </w:p>
    <w:p>
      <w:pPr>
        <w:keepNext w:val="0"/>
        <w:keepLines w:val="0"/>
        <w:pageBreakBefore w:val="0"/>
        <w:kinsoku/>
        <w:wordWrap/>
        <w:overflowPunct/>
        <w:topLinePunct w:val="0"/>
        <w:autoSpaceDE/>
        <w:autoSpaceDN/>
        <w:bidi w:val="0"/>
        <w:spacing w:line="520" w:lineRule="exact"/>
        <w:ind w:right="640" w:firstLine="640" w:firstLineChars="200"/>
        <w:textAlignment w:val="auto"/>
        <w:rPr>
          <w:rFonts w:hint="eastAsia" w:ascii="仿宋_GB2312" w:hAnsi="仿宋_GB2312" w:eastAsia="仿宋_GB2312" w:cs="仿宋_GB2312"/>
          <w:b w:val="0"/>
          <w:bCs w:val="0"/>
          <w:color w:val="auto"/>
          <w:sz w:val="32"/>
          <w:szCs w:val="32"/>
          <w:highlight w:val="none"/>
          <w:u w:val="single"/>
        </w:rPr>
      </w:pPr>
      <w:r>
        <w:rPr>
          <w:rFonts w:hint="eastAsia" w:ascii="仿宋_GB2312" w:hAnsi="仿宋_GB2312" w:eastAsia="仿宋_GB2312" w:cs="仿宋_GB2312"/>
          <w:b w:val="0"/>
          <w:bCs w:val="0"/>
          <w:color w:val="auto"/>
          <w:sz w:val="32"/>
          <w:szCs w:val="32"/>
          <w:highlight w:val="none"/>
        </w:rPr>
        <w:t>联系地址：广东省惠州市仲恺高新区和畅五路人才服务大厦5楼</w:t>
      </w:r>
    </w:p>
    <w:p>
      <w:pPr>
        <w:keepNext w:val="0"/>
        <w:keepLines w:val="0"/>
        <w:pageBreakBefore w:val="0"/>
        <w:kinsoku/>
        <w:wordWrap/>
        <w:overflowPunct/>
        <w:topLinePunct w:val="0"/>
        <w:autoSpaceDE/>
        <w:autoSpaceDN/>
        <w:bidi w:val="0"/>
        <w:spacing w:line="520" w:lineRule="exact"/>
        <w:ind w:right="640" w:firstLine="640" w:firstLineChars="200"/>
        <w:textAlignment w:val="auto"/>
        <w:rPr>
          <w:rFonts w:hint="eastAsia" w:ascii="仿宋_GB2312" w:hAnsi="仿宋_GB2312" w:eastAsia="仿宋_GB2312" w:cs="仿宋_GB2312"/>
          <w:b w:val="0"/>
          <w:bCs w:val="0"/>
          <w:color w:val="auto"/>
          <w:sz w:val="32"/>
          <w:szCs w:val="32"/>
          <w:highlight w:val="none"/>
          <w:u w:val="single"/>
          <w:lang w:val="en-US" w:eastAsia="zh-CN"/>
        </w:rPr>
      </w:pPr>
      <w:r>
        <w:rPr>
          <w:rFonts w:hint="eastAsia" w:ascii="仿宋_GB2312" w:hAnsi="仿宋_GB2312" w:eastAsia="仿宋_GB2312" w:cs="仿宋_GB2312"/>
          <w:b w:val="0"/>
          <w:bCs w:val="0"/>
          <w:color w:val="auto"/>
          <w:sz w:val="32"/>
          <w:szCs w:val="32"/>
          <w:highlight w:val="none"/>
        </w:rPr>
        <w:t>联系人：</w:t>
      </w:r>
      <w:r>
        <w:rPr>
          <w:rFonts w:hint="eastAsia" w:ascii="仿宋_GB2312" w:hAnsi="仿宋_GB2312" w:eastAsia="仿宋_GB2312" w:cs="仿宋_GB2312"/>
          <w:b w:val="0"/>
          <w:bCs w:val="0"/>
          <w:color w:val="auto"/>
          <w:sz w:val="32"/>
          <w:szCs w:val="32"/>
          <w:highlight w:val="none"/>
          <w:lang w:val="en-US" w:eastAsia="zh-CN"/>
        </w:rPr>
        <w:t>欧阳志峰</w:t>
      </w:r>
    </w:p>
    <w:p>
      <w:pPr>
        <w:keepNext w:val="0"/>
        <w:keepLines w:val="0"/>
        <w:pageBreakBefore w:val="0"/>
        <w:kinsoku/>
        <w:wordWrap/>
        <w:overflowPunct/>
        <w:topLinePunct w:val="0"/>
        <w:autoSpaceDE/>
        <w:autoSpaceDN/>
        <w:bidi w:val="0"/>
        <w:spacing w:line="520" w:lineRule="exact"/>
        <w:ind w:right="64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联系电话：</w:t>
      </w:r>
      <w:r>
        <w:rPr>
          <w:rFonts w:hint="eastAsia" w:ascii="仿宋_GB2312" w:hAnsi="仿宋_GB2312" w:eastAsia="仿宋_GB2312" w:cs="仿宋_GB2312"/>
          <w:b w:val="0"/>
          <w:bCs w:val="0"/>
          <w:color w:val="auto"/>
          <w:sz w:val="32"/>
          <w:szCs w:val="32"/>
          <w:highlight w:val="none"/>
          <w:lang w:val="en-US" w:eastAsia="en-US"/>
        </w:rPr>
        <w:t>0752-3271601</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交易机构：惠州市公共资源交易中心</w:t>
      </w:r>
      <w:r>
        <w:rPr>
          <w:rFonts w:hint="eastAsia" w:ascii="仿宋_GB2312" w:hAnsi="仿宋_GB2312" w:eastAsia="仿宋_GB2312" w:cs="仿宋_GB2312"/>
          <w:b w:val="0"/>
          <w:bCs w:val="0"/>
          <w:color w:val="auto"/>
          <w:sz w:val="32"/>
          <w:szCs w:val="32"/>
          <w:highlight w:val="none"/>
          <w:lang w:eastAsia="zh-CN"/>
        </w:rPr>
        <w:t>仲恺</w:t>
      </w:r>
      <w:r>
        <w:rPr>
          <w:rFonts w:hint="eastAsia" w:ascii="仿宋_GB2312" w:hAnsi="仿宋_GB2312" w:eastAsia="仿宋_GB2312" w:cs="仿宋_GB2312"/>
          <w:b w:val="0"/>
          <w:bCs w:val="0"/>
          <w:color w:val="auto"/>
          <w:sz w:val="32"/>
          <w:szCs w:val="32"/>
          <w:highlight w:val="none"/>
        </w:rPr>
        <w:t>分中心</w:t>
      </w:r>
    </w:p>
    <w:p>
      <w:pPr>
        <w:pStyle w:val="24"/>
        <w:keepNext w:val="0"/>
        <w:keepLines w:val="0"/>
        <w:pageBreakBefore w:val="0"/>
        <w:widowControl w:val="0"/>
        <w:kinsoku/>
        <w:wordWrap/>
        <w:overflowPunct/>
        <w:topLinePunct w:val="0"/>
        <w:autoSpaceDE/>
        <w:autoSpaceDN/>
        <w:bidi w:val="0"/>
        <w:spacing w:line="520" w:lineRule="exact"/>
        <w:ind w:firstLine="640" w:firstLineChars="200"/>
        <w:jc w:val="left"/>
        <w:textAlignment w:val="auto"/>
        <w:outlineLvl w:val="9"/>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sz w:val="32"/>
          <w:szCs w:val="32"/>
          <w:highlight w:val="none"/>
        </w:rPr>
        <w:t>联系地址：</w:t>
      </w:r>
      <w:r>
        <w:rPr>
          <w:rFonts w:hint="eastAsia" w:ascii="仿宋_GB2312" w:hAnsi="仿宋_GB2312" w:eastAsia="仿宋_GB2312" w:cs="仿宋_GB2312"/>
          <w:b w:val="0"/>
          <w:bCs w:val="0"/>
          <w:color w:val="auto"/>
          <w:kern w:val="0"/>
          <w:sz w:val="32"/>
          <w:szCs w:val="32"/>
          <w:highlight w:val="none"/>
        </w:rPr>
        <w:t>广东省惠州市仲恺高新区和畅五路人才服务</w:t>
      </w:r>
    </w:p>
    <w:p>
      <w:pPr>
        <w:pStyle w:val="24"/>
        <w:keepNext w:val="0"/>
        <w:keepLines w:val="0"/>
        <w:pageBreakBefore w:val="0"/>
        <w:widowControl w:val="0"/>
        <w:kinsoku/>
        <w:wordWrap/>
        <w:overflowPunct/>
        <w:topLinePunct w:val="0"/>
        <w:autoSpaceDE/>
        <w:autoSpaceDN/>
        <w:bidi w:val="0"/>
        <w:spacing w:line="520" w:lineRule="exact"/>
        <w:ind w:firstLine="2240" w:firstLineChars="700"/>
        <w:jc w:val="left"/>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0"/>
          <w:sz w:val="32"/>
          <w:szCs w:val="32"/>
          <w:highlight w:val="none"/>
        </w:rPr>
        <w:t>大厦10楼</w:t>
      </w:r>
    </w:p>
    <w:p>
      <w:pPr>
        <w:pStyle w:val="24"/>
        <w:keepNext w:val="0"/>
        <w:keepLines w:val="0"/>
        <w:pageBreakBefore w:val="0"/>
        <w:widowControl w:val="0"/>
        <w:kinsoku/>
        <w:wordWrap/>
        <w:overflowPunct/>
        <w:topLinePunct w:val="0"/>
        <w:autoSpaceDE/>
        <w:autoSpaceDN/>
        <w:bidi w:val="0"/>
        <w:spacing w:line="520" w:lineRule="exact"/>
        <w:ind w:firstLine="640" w:firstLineChars="200"/>
        <w:jc w:val="left"/>
        <w:textAlignment w:val="auto"/>
        <w:outlineLvl w:val="9"/>
        <w:rPr>
          <w:rFonts w:hint="eastAsia" w:ascii="仿宋_GB2312" w:hAnsi="仿宋_GB2312" w:eastAsia="仿宋_GB2312" w:cs="仿宋_GB2312"/>
          <w:b w:val="0"/>
          <w:bCs w:val="0"/>
          <w:color w:val="auto"/>
          <w:sz w:val="32"/>
          <w:szCs w:val="32"/>
          <w:highlight w:val="none"/>
          <w:u w:val="single"/>
        </w:rPr>
      </w:pPr>
      <w:r>
        <w:rPr>
          <w:rFonts w:hint="eastAsia" w:ascii="仿宋_GB2312" w:hAnsi="仿宋_GB2312" w:eastAsia="仿宋_GB2312" w:cs="仿宋_GB2312"/>
          <w:b w:val="0"/>
          <w:bCs w:val="0"/>
          <w:color w:val="auto"/>
          <w:sz w:val="32"/>
          <w:szCs w:val="32"/>
          <w:highlight w:val="none"/>
        </w:rPr>
        <w:t>联系人：</w:t>
      </w:r>
      <w:r>
        <w:rPr>
          <w:rFonts w:hint="eastAsia" w:ascii="仿宋_GB2312" w:hAnsi="仿宋_GB2312" w:eastAsia="仿宋_GB2312" w:cs="仿宋_GB2312"/>
          <w:b w:val="0"/>
          <w:bCs w:val="0"/>
          <w:color w:val="auto"/>
          <w:kern w:val="0"/>
          <w:sz w:val="32"/>
          <w:szCs w:val="32"/>
          <w:highlight w:val="none"/>
        </w:rPr>
        <w:t>汪</w:t>
      </w:r>
      <w:r>
        <w:rPr>
          <w:rFonts w:hint="eastAsia" w:ascii="仿宋_GB2312" w:hAnsi="仿宋_GB2312" w:eastAsia="仿宋_GB2312" w:cs="仿宋_GB2312"/>
          <w:b w:val="0"/>
          <w:bCs w:val="0"/>
          <w:color w:val="auto"/>
          <w:kern w:val="0"/>
          <w:sz w:val="32"/>
          <w:szCs w:val="32"/>
          <w:highlight w:val="none"/>
          <w:lang w:val="en-US" w:eastAsia="zh-CN"/>
        </w:rPr>
        <w:t>鑫</w:t>
      </w:r>
      <w:r>
        <w:rPr>
          <w:rFonts w:hint="eastAsia" w:ascii="仿宋_GB2312" w:hAnsi="仿宋_GB2312" w:eastAsia="仿宋_GB2312" w:cs="仿宋_GB2312"/>
          <w:b w:val="0"/>
          <w:bCs w:val="0"/>
          <w:color w:val="auto"/>
          <w:kern w:val="0"/>
          <w:sz w:val="32"/>
          <w:szCs w:val="32"/>
          <w:highlight w:val="none"/>
        </w:rPr>
        <w:t xml:space="preserve"> </w:t>
      </w:r>
      <w:r>
        <w:rPr>
          <w:rFonts w:hint="eastAsia" w:ascii="仿宋_GB2312" w:hAnsi="仿宋_GB2312" w:eastAsia="仿宋_GB2312" w:cs="仿宋_GB2312"/>
          <w:b w:val="0"/>
          <w:bCs w:val="0"/>
          <w:color w:val="auto"/>
          <w:kern w:val="0"/>
          <w:sz w:val="32"/>
          <w:szCs w:val="32"/>
          <w:highlight w:val="none"/>
          <w:lang w:val="en-US" w:eastAsia="zh-CN"/>
        </w:rPr>
        <w:t>欧阳海棠</w:t>
      </w:r>
    </w:p>
    <w:p>
      <w:pPr>
        <w:pStyle w:val="24"/>
        <w:keepNext w:val="0"/>
        <w:keepLines w:val="0"/>
        <w:pageBreakBefore w:val="0"/>
        <w:widowControl w:val="0"/>
        <w:kinsoku/>
        <w:wordWrap/>
        <w:overflowPunct/>
        <w:topLinePunct w:val="0"/>
        <w:autoSpaceDE/>
        <w:autoSpaceDN/>
        <w:bidi w:val="0"/>
        <w:spacing w:line="520" w:lineRule="exact"/>
        <w:ind w:firstLine="640" w:firstLineChars="200"/>
        <w:jc w:val="left"/>
        <w:textAlignment w:val="auto"/>
        <w:outlineLvl w:val="9"/>
        <w:rPr>
          <w:rFonts w:hint="eastAsia" w:ascii="仿宋_GB2312" w:hAnsi="仿宋_GB2312" w:eastAsia="仿宋_GB2312" w:cs="仿宋_GB2312"/>
          <w:b w:val="0"/>
          <w:bCs w:val="0"/>
          <w:color w:val="auto"/>
          <w:sz w:val="32"/>
          <w:szCs w:val="32"/>
          <w:highlight w:val="none"/>
          <w:u w:val="single"/>
        </w:rPr>
      </w:pPr>
      <w:r>
        <w:rPr>
          <w:rFonts w:hint="eastAsia" w:ascii="仿宋_GB2312" w:hAnsi="仿宋_GB2312" w:eastAsia="仿宋_GB2312" w:cs="仿宋_GB2312"/>
          <w:b w:val="0"/>
          <w:bCs w:val="0"/>
          <w:color w:val="auto"/>
          <w:sz w:val="32"/>
          <w:szCs w:val="32"/>
          <w:highlight w:val="none"/>
        </w:rPr>
        <w:t>联系电话：</w:t>
      </w:r>
      <w:r>
        <w:rPr>
          <w:rFonts w:hint="eastAsia" w:ascii="仿宋_GB2312" w:hAnsi="仿宋_GB2312" w:eastAsia="仿宋_GB2312" w:cs="仿宋_GB2312"/>
          <w:b w:val="0"/>
          <w:bCs w:val="0"/>
          <w:color w:val="auto"/>
          <w:kern w:val="0"/>
          <w:sz w:val="32"/>
          <w:szCs w:val="32"/>
          <w:highlight w:val="none"/>
        </w:rPr>
        <w:t>0752-3278419</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注：本公告同时在下列网站及场所发布</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中国土地市场网: http://www.landchina.com</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惠州市公共资源交易中心网：</w:t>
      </w:r>
      <w:r>
        <w:rPr>
          <w:rFonts w:hint="eastAsia" w:ascii="仿宋_GB2312" w:hAnsi="仿宋_GB2312" w:eastAsia="仿宋_GB2312" w:cs="仿宋_GB2312"/>
          <w:b w:val="0"/>
          <w:bCs w:val="0"/>
          <w:color w:val="auto"/>
          <w:sz w:val="32"/>
          <w:szCs w:val="32"/>
          <w:highlight w:val="none"/>
        </w:rPr>
        <w:fldChar w:fldCharType="begin"/>
      </w:r>
      <w:r>
        <w:rPr>
          <w:rFonts w:hint="eastAsia" w:ascii="仿宋_GB2312" w:hAnsi="仿宋_GB2312" w:eastAsia="仿宋_GB2312" w:cs="仿宋_GB2312"/>
          <w:b w:val="0"/>
          <w:bCs w:val="0"/>
          <w:color w:val="auto"/>
          <w:sz w:val="32"/>
          <w:szCs w:val="32"/>
          <w:highlight w:val="none"/>
        </w:rPr>
        <w:instrText xml:space="preserve"> HYPERLINK "http://zyjy.huizhou.gov.cn" </w:instrText>
      </w:r>
      <w:r>
        <w:rPr>
          <w:rFonts w:hint="eastAsia" w:ascii="仿宋_GB2312" w:hAnsi="仿宋_GB2312" w:eastAsia="仿宋_GB2312" w:cs="仿宋_GB2312"/>
          <w:b w:val="0"/>
          <w:bCs w:val="0"/>
          <w:color w:val="auto"/>
          <w:sz w:val="32"/>
          <w:szCs w:val="32"/>
          <w:highlight w:val="none"/>
        </w:rPr>
        <w:fldChar w:fldCharType="separate"/>
      </w:r>
      <w:r>
        <w:rPr>
          <w:rFonts w:hint="eastAsia" w:ascii="仿宋_GB2312" w:hAnsi="仿宋_GB2312" w:eastAsia="仿宋_GB2312" w:cs="仿宋_GB2312"/>
          <w:b w:val="0"/>
          <w:bCs w:val="0"/>
          <w:color w:val="auto"/>
          <w:sz w:val="32"/>
          <w:szCs w:val="32"/>
          <w:highlight w:val="none"/>
        </w:rPr>
        <w:t>http://zyjy.huizhou.gov.cn</w:t>
      </w:r>
      <w:r>
        <w:rPr>
          <w:rFonts w:hint="eastAsia" w:ascii="仿宋_GB2312" w:hAnsi="仿宋_GB2312" w:eastAsia="仿宋_GB2312" w:cs="仿宋_GB2312"/>
          <w:b w:val="0"/>
          <w:bCs w:val="0"/>
          <w:color w:val="auto"/>
          <w:sz w:val="32"/>
          <w:szCs w:val="32"/>
          <w:highlight w:val="none"/>
        </w:rPr>
        <w:fldChar w:fldCharType="end"/>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惠州</w:t>
      </w:r>
      <w:r>
        <w:rPr>
          <w:rFonts w:hint="eastAsia" w:ascii="仿宋_GB2312" w:hAnsi="仿宋_GB2312" w:eastAsia="仿宋_GB2312" w:cs="仿宋_GB2312"/>
          <w:b w:val="0"/>
          <w:bCs w:val="0"/>
          <w:color w:val="auto"/>
          <w:sz w:val="32"/>
          <w:szCs w:val="32"/>
          <w:highlight w:val="none"/>
          <w:lang w:eastAsia="zh-CN"/>
        </w:rPr>
        <w:t>市</w:t>
      </w:r>
      <w:r>
        <w:rPr>
          <w:rFonts w:hint="eastAsia" w:ascii="仿宋_GB2312" w:hAnsi="仿宋_GB2312" w:eastAsia="仿宋_GB2312" w:cs="仿宋_GB2312"/>
          <w:b w:val="0"/>
          <w:bCs w:val="0"/>
          <w:color w:val="auto"/>
          <w:sz w:val="32"/>
          <w:szCs w:val="32"/>
          <w:highlight w:val="none"/>
        </w:rPr>
        <w:t>公共资源交易中心</w:t>
      </w:r>
      <w:r>
        <w:rPr>
          <w:rFonts w:hint="eastAsia" w:ascii="仿宋_GB2312" w:hAnsi="仿宋_GB2312" w:eastAsia="仿宋_GB2312" w:cs="仿宋_GB2312"/>
          <w:b w:val="0"/>
          <w:bCs w:val="0"/>
          <w:color w:val="auto"/>
          <w:sz w:val="32"/>
          <w:szCs w:val="32"/>
          <w:highlight w:val="none"/>
          <w:lang w:eastAsia="zh-CN"/>
        </w:rPr>
        <w:t>仲恺分中心</w:t>
      </w:r>
      <w:r>
        <w:rPr>
          <w:rFonts w:hint="eastAsia" w:ascii="仿宋_GB2312" w:hAnsi="仿宋_GB2312" w:eastAsia="仿宋_GB2312" w:cs="仿宋_GB2312"/>
          <w:b w:val="0"/>
          <w:bCs w:val="0"/>
          <w:color w:val="auto"/>
          <w:sz w:val="32"/>
          <w:szCs w:val="32"/>
          <w:highlight w:val="none"/>
        </w:rPr>
        <w:t>网站</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fldChar w:fldCharType="begin"/>
      </w:r>
      <w:r>
        <w:rPr>
          <w:rFonts w:hint="eastAsia" w:ascii="仿宋_GB2312" w:hAnsi="仿宋_GB2312" w:eastAsia="仿宋_GB2312" w:cs="仿宋_GB2312"/>
          <w:b w:val="0"/>
          <w:bCs w:val="0"/>
          <w:color w:val="auto"/>
          <w:sz w:val="32"/>
          <w:szCs w:val="32"/>
          <w:highlight w:val="none"/>
          <w:lang w:eastAsia="zh-CN"/>
        </w:rPr>
        <w:instrText xml:space="preserve"> HYPERLINK "http://www.hzzk.gov.cn/gwhbm/hzsggzyjyzxzzfzx/index.html" </w:instrText>
      </w:r>
      <w:r>
        <w:rPr>
          <w:rFonts w:hint="eastAsia" w:ascii="仿宋_GB2312" w:hAnsi="仿宋_GB2312" w:eastAsia="仿宋_GB2312" w:cs="仿宋_GB2312"/>
          <w:b w:val="0"/>
          <w:bCs w:val="0"/>
          <w:color w:val="auto"/>
          <w:sz w:val="32"/>
          <w:szCs w:val="32"/>
          <w:highlight w:val="none"/>
          <w:lang w:eastAsia="zh-CN"/>
        </w:rPr>
        <w:fldChar w:fldCharType="separate"/>
      </w:r>
      <w:r>
        <w:rPr>
          <w:rStyle w:val="16"/>
          <w:rFonts w:hint="eastAsia" w:ascii="仿宋_GB2312" w:hAnsi="仿宋_GB2312" w:eastAsia="仿宋_GB2312" w:cs="仿宋_GB2312"/>
          <w:b w:val="0"/>
          <w:bCs w:val="0"/>
          <w:color w:val="auto"/>
          <w:sz w:val="32"/>
          <w:szCs w:val="32"/>
          <w:highlight w:val="none"/>
          <w:lang w:eastAsia="zh-CN"/>
        </w:rPr>
        <w:t>http://www.hzzk.gov.cn/gwhbm/hzsggzyjyzxzzfzx/index.html</w:t>
      </w:r>
      <w:r>
        <w:rPr>
          <w:rFonts w:hint="eastAsia" w:ascii="仿宋_GB2312" w:hAnsi="仿宋_GB2312" w:eastAsia="仿宋_GB2312" w:cs="仿宋_GB2312"/>
          <w:b w:val="0"/>
          <w:bCs w:val="0"/>
          <w:color w:val="auto"/>
          <w:sz w:val="32"/>
          <w:szCs w:val="32"/>
          <w:highlight w:val="none"/>
          <w:lang w:eastAsia="zh-CN"/>
        </w:rPr>
        <w:fldChar w:fldCharType="end"/>
      </w:r>
    </w:p>
    <w:p>
      <w:pPr>
        <w:pStyle w:val="2"/>
        <w:rPr>
          <w:rFonts w:hint="eastAsia"/>
          <w:lang w:val="en-US" w:eastAsia="zh-CN"/>
        </w:rPr>
      </w:pPr>
      <w:r>
        <w:rPr>
          <w:rFonts w:hint="eastAsia" w:ascii="仿宋_GB2312" w:hAnsi="仿宋_GB2312" w:eastAsia="仿宋_GB2312" w:cs="仿宋_GB2312"/>
          <w:lang w:val="en-US" w:eastAsia="zh-CN"/>
        </w:rPr>
        <w:t>惠州市仲恺高新区国土资源分局网站：</w:t>
      </w:r>
      <w:r>
        <w:rPr>
          <w:rFonts w:hint="eastAsia" w:ascii="仿宋_GB2312" w:hAnsi="仿宋_GB2312" w:eastAsia="仿宋_GB2312" w:cs="仿宋_GB2312"/>
          <w:lang w:val="en-US" w:eastAsia="zh-CN"/>
        </w:rPr>
        <w:fldChar w:fldCharType="begin"/>
      </w:r>
      <w:r>
        <w:rPr>
          <w:rFonts w:hint="eastAsia" w:ascii="仿宋_GB2312" w:hAnsi="仿宋_GB2312" w:eastAsia="仿宋_GB2312" w:cs="仿宋_GB2312"/>
          <w:lang w:val="en-US" w:eastAsia="zh-CN"/>
        </w:rPr>
        <w:instrText xml:space="preserve">HYPERLINK "http://www.hzzk.gov.cn/gwhbm/zzgxqgtzyfj/"</w:instrText>
      </w:r>
      <w:r>
        <w:rPr>
          <w:rFonts w:hint="eastAsia" w:ascii="仿宋_GB2312" w:hAnsi="仿宋_GB2312" w:eastAsia="仿宋_GB2312" w:cs="仿宋_GB2312"/>
          <w:lang w:val="en-US" w:eastAsia="zh-CN"/>
        </w:rPr>
        <w:fldChar w:fldCharType="separate"/>
      </w:r>
      <w:r>
        <w:rPr>
          <w:rFonts w:hint="eastAsia" w:ascii="仿宋_GB2312" w:hAnsi="仿宋_GB2312" w:eastAsia="仿宋_GB2312" w:cs="仿宋_GB2312"/>
          <w:lang w:val="en-US" w:eastAsia="zh-CN"/>
        </w:rPr>
        <w:t>http://www.hzzk.gov.cn/gwhbm/zzgxqgtzyfj/</w:t>
      </w:r>
      <w:r>
        <w:rPr>
          <w:rFonts w:hint="eastAsia" w:ascii="仿宋_GB2312" w:hAnsi="仿宋_GB2312" w:eastAsia="仿宋_GB2312" w:cs="仿宋_GB2312"/>
          <w:lang w:val="en-US" w:eastAsia="zh-CN"/>
        </w:rPr>
        <w:fldChar w:fldCharType="end"/>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惠州</w:t>
      </w:r>
      <w:r>
        <w:rPr>
          <w:rFonts w:hint="eastAsia" w:ascii="仿宋_GB2312" w:hAnsi="仿宋_GB2312" w:eastAsia="仿宋_GB2312" w:cs="仿宋_GB2312"/>
          <w:b w:val="0"/>
          <w:bCs w:val="0"/>
          <w:color w:val="auto"/>
          <w:sz w:val="32"/>
          <w:szCs w:val="32"/>
          <w:highlight w:val="none"/>
          <w:lang w:eastAsia="zh-CN"/>
        </w:rPr>
        <w:t>市</w:t>
      </w:r>
      <w:r>
        <w:rPr>
          <w:rFonts w:hint="eastAsia" w:ascii="仿宋_GB2312" w:hAnsi="仿宋_GB2312" w:eastAsia="仿宋_GB2312" w:cs="仿宋_GB2312"/>
          <w:b w:val="0"/>
          <w:bCs w:val="0"/>
          <w:color w:val="auto"/>
          <w:sz w:val="32"/>
          <w:szCs w:val="32"/>
          <w:highlight w:val="none"/>
        </w:rPr>
        <w:t>公共资源交易中心</w:t>
      </w:r>
      <w:r>
        <w:rPr>
          <w:rFonts w:hint="eastAsia" w:ascii="仿宋_GB2312" w:hAnsi="仿宋_GB2312" w:eastAsia="仿宋_GB2312" w:cs="仿宋_GB2312"/>
          <w:b w:val="0"/>
          <w:bCs w:val="0"/>
          <w:color w:val="auto"/>
          <w:sz w:val="32"/>
          <w:szCs w:val="32"/>
          <w:highlight w:val="none"/>
          <w:lang w:eastAsia="zh-CN"/>
        </w:rPr>
        <w:t>仲恺分中心</w:t>
      </w:r>
      <w:r>
        <w:rPr>
          <w:rFonts w:hint="eastAsia" w:ascii="仿宋_GB2312" w:hAnsi="仿宋_GB2312" w:eastAsia="仿宋_GB2312" w:cs="仿宋_GB2312"/>
          <w:b w:val="0"/>
          <w:bCs w:val="0"/>
          <w:color w:val="auto"/>
          <w:sz w:val="32"/>
          <w:szCs w:val="32"/>
          <w:highlight w:val="none"/>
        </w:rPr>
        <w:t>服务大厅电子屏幕。</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数字证书办理地址：广东省惠州市惠城区三新北路31号市民服务中心3号楼惠州市公共资源交易中心一楼大厅1号土地与矿业交易窗口。</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联系人：罗工</w:t>
      </w:r>
    </w:p>
    <w:p>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联系电话：0752-7121029</w:t>
      </w:r>
    </w:p>
    <w:p>
      <w:pPr>
        <w:pStyle w:val="5"/>
        <w:keepNext w:val="0"/>
        <w:keepLines w:val="0"/>
        <w:pageBreakBefore w:val="0"/>
        <w:kinsoku/>
        <w:wordWrap/>
        <w:overflowPunct/>
        <w:topLinePunct w:val="0"/>
        <w:autoSpaceDE/>
        <w:autoSpaceDN/>
        <w:bidi w:val="0"/>
        <w:spacing w:line="520" w:lineRule="exact"/>
        <w:ind w:left="0" w:leftChars="0" w:firstLine="0" w:firstLineChars="0"/>
        <w:textAlignment w:val="auto"/>
        <w:rPr>
          <w:rFonts w:hint="eastAsia" w:ascii="仿宋_GB2312" w:hAnsi="仿宋_GB2312" w:eastAsia="仿宋_GB2312" w:cs="仿宋_GB2312"/>
          <w:b w:val="0"/>
          <w:bCs w:val="0"/>
          <w:color w:val="auto"/>
          <w:sz w:val="32"/>
          <w:szCs w:val="32"/>
          <w:highlight w:val="none"/>
        </w:rPr>
      </w:pPr>
    </w:p>
    <w:p>
      <w:pPr>
        <w:keepNext w:val="0"/>
        <w:keepLines w:val="0"/>
        <w:pageBreakBefore w:val="0"/>
        <w:kinsoku/>
        <w:wordWrap/>
        <w:overflowPunct/>
        <w:topLinePunct w:val="0"/>
        <w:autoSpaceDE/>
        <w:autoSpaceDN/>
        <w:bidi w:val="0"/>
        <w:spacing w:line="520" w:lineRule="exact"/>
        <w:jc w:val="right"/>
        <w:textAlignment w:val="auto"/>
        <w:rPr>
          <w:rFonts w:hint="eastAsia" w:ascii="仿宋_GB2312" w:hAnsi="仿宋_GB2312" w:eastAsia="仿宋_GB2312" w:cs="仿宋_GB2312"/>
          <w:b w:val="0"/>
          <w:bCs w:val="0"/>
          <w:color w:val="auto"/>
          <w:sz w:val="32"/>
          <w:szCs w:val="32"/>
          <w:highlight w:val="none"/>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b w:val="0"/>
          <w:bCs w:val="0"/>
          <w:color w:val="auto"/>
          <w:sz w:val="32"/>
          <w:szCs w:val="32"/>
          <w:highlight w:val="none"/>
          <w:lang w:val="en-US" w:eastAsia="zh-CN"/>
        </w:rPr>
        <w:t xml:space="preserve">                 惠州市仲恺高新区国土资源分局                                       2022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u w:val="none"/>
          <w:lang w:val="en-US" w:eastAsia="zh-CN"/>
        </w:rPr>
        <w:t>9</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lang w:val="en-US" w:eastAsia="zh-CN"/>
        </w:rPr>
        <w:t>9</w:t>
      </w:r>
      <w:r>
        <w:rPr>
          <w:rFonts w:hint="eastAsia" w:ascii="仿宋_GB2312" w:hAnsi="仿宋_GB2312" w:eastAsia="仿宋_GB2312" w:cs="仿宋_GB2312"/>
          <w:b w:val="0"/>
          <w:bCs w:val="0"/>
          <w:color w:val="auto"/>
          <w:sz w:val="32"/>
          <w:szCs w:val="32"/>
          <w:highlight w:val="none"/>
          <w:u w:val="none"/>
          <w:lang w:val="en-US" w:eastAsia="zh-CN"/>
        </w:rPr>
        <w:t xml:space="preserve"> 日</w:t>
      </w:r>
    </w:p>
    <w:p>
      <w:pPr>
        <w:pStyle w:val="32"/>
        <w:keepNext w:val="0"/>
        <w:keepLines w:val="0"/>
        <w:widowControl w:val="0"/>
        <w:shd w:val="clear" w:color="auto" w:fill="auto"/>
        <w:bidi w:val="0"/>
        <w:spacing w:before="0" w:after="260" w:line="240" w:lineRule="auto"/>
        <w:ind w:left="0" w:leftChars="0" w:right="0" w:firstLine="0" w:firstLineChars="0"/>
        <w:jc w:val="left"/>
      </w:pPr>
      <w:r>
        <w:rPr>
          <w:color w:val="000000"/>
          <w:spacing w:val="0"/>
          <w:w w:val="100"/>
          <w:position w:val="0"/>
        </w:rPr>
        <w:t>附表:</w:t>
      </w:r>
    </w:p>
    <w:p>
      <w:pPr>
        <w:pStyle w:val="33"/>
        <w:keepNext w:val="0"/>
        <w:keepLines w:val="0"/>
        <w:widowControl w:val="0"/>
        <w:shd w:val="clear" w:color="auto" w:fill="auto"/>
        <w:bidi w:val="0"/>
        <w:spacing w:before="0" w:after="0" w:line="240" w:lineRule="auto"/>
        <w:ind w:right="0"/>
        <w:jc w:val="center"/>
        <w:rPr>
          <w:rFonts w:hint="eastAsia" w:ascii="方正小标宋_GBK" w:hAnsi="方正小标宋_GBK" w:eastAsia="方正小标宋_GBK" w:cs="方正小标宋_GBK"/>
          <w:color w:val="000000"/>
          <w:spacing w:val="0"/>
          <w:w w:val="100"/>
          <w:position w:val="0"/>
          <w:sz w:val="44"/>
          <w:szCs w:val="44"/>
        </w:rPr>
      </w:pPr>
      <w:r>
        <w:rPr>
          <w:rFonts w:hint="eastAsia" w:ascii="方正小标宋_GBK" w:hAnsi="方正小标宋_GBK" w:eastAsia="方正小标宋_GBK" w:cs="方正小标宋_GBK"/>
          <w:color w:val="000000"/>
          <w:spacing w:val="0"/>
          <w:w w:val="100"/>
          <w:position w:val="0"/>
          <w:sz w:val="44"/>
          <w:szCs w:val="44"/>
        </w:rPr>
        <w:t>网上挂牌出让地块基本情况及规划建设指标</w:t>
      </w:r>
    </w:p>
    <w:p>
      <w:pPr>
        <w:pStyle w:val="33"/>
        <w:keepNext w:val="0"/>
        <w:keepLines w:val="0"/>
        <w:widowControl w:val="0"/>
        <w:shd w:val="clear" w:color="auto" w:fill="auto"/>
        <w:bidi w:val="0"/>
        <w:spacing w:before="0" w:after="0" w:line="240" w:lineRule="auto"/>
        <w:ind w:right="0"/>
        <w:jc w:val="center"/>
        <w:rPr>
          <w:color w:val="000000"/>
          <w:spacing w:val="0"/>
          <w:w w:val="100"/>
          <w:position w:val="0"/>
        </w:rPr>
      </w:pPr>
    </w:p>
    <w:tbl>
      <w:tblPr>
        <w:tblStyle w:val="10"/>
        <w:tblW w:w="15612" w:type="dxa"/>
        <w:jc w:val="center"/>
        <w:tblLayout w:type="fixed"/>
        <w:tblCellMar>
          <w:top w:w="0" w:type="dxa"/>
          <w:left w:w="10" w:type="dxa"/>
          <w:bottom w:w="0" w:type="dxa"/>
          <w:right w:w="10" w:type="dxa"/>
        </w:tblCellMar>
      </w:tblPr>
      <w:tblGrid>
        <w:gridCol w:w="642"/>
        <w:gridCol w:w="630"/>
        <w:gridCol w:w="1140"/>
        <w:gridCol w:w="516"/>
        <w:gridCol w:w="1116"/>
        <w:gridCol w:w="936"/>
        <w:gridCol w:w="708"/>
        <w:gridCol w:w="852"/>
        <w:gridCol w:w="1740"/>
        <w:gridCol w:w="678"/>
        <w:gridCol w:w="1685"/>
        <w:gridCol w:w="647"/>
        <w:gridCol w:w="698"/>
        <w:gridCol w:w="864"/>
        <w:gridCol w:w="840"/>
        <w:gridCol w:w="1056"/>
        <w:gridCol w:w="864"/>
      </w:tblGrid>
      <w:tr>
        <w:tblPrEx>
          <w:tblCellMar>
            <w:top w:w="0" w:type="dxa"/>
            <w:left w:w="10" w:type="dxa"/>
            <w:bottom w:w="0" w:type="dxa"/>
            <w:right w:w="10" w:type="dxa"/>
          </w:tblCellMar>
        </w:tblPrEx>
        <w:trPr>
          <w:trHeight w:val="432" w:hRule="exact"/>
          <w:jc w:val="center"/>
        </w:trPr>
        <w:tc>
          <w:tcPr>
            <w:tcW w:w="642" w:type="dxa"/>
            <w:vMerge w:val="restart"/>
            <w:tcBorders>
              <w:top w:val="single" w:color="auto" w:sz="4" w:space="0"/>
              <w:lef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sz w:val="22"/>
                <w:szCs w:val="22"/>
              </w:rPr>
            </w:pPr>
            <w:r>
              <w:rPr>
                <w:color w:val="000000"/>
                <w:spacing w:val="0"/>
                <w:w w:val="100"/>
                <w:position w:val="0"/>
                <w:sz w:val="22"/>
                <w:szCs w:val="22"/>
              </w:rPr>
              <w:t>挂牌地块编号</w:t>
            </w:r>
          </w:p>
        </w:tc>
        <w:tc>
          <w:tcPr>
            <w:tcW w:w="630" w:type="dxa"/>
            <w:vMerge w:val="restart"/>
            <w:tcBorders>
              <w:top w:val="single" w:color="auto" w:sz="4" w:space="0"/>
              <w:lef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宋体" w:hAnsi="宋体" w:eastAsia="宋体" w:cs="宋体"/>
                <w:color w:val="000000"/>
                <w:spacing w:val="0"/>
                <w:w w:val="100"/>
                <w:position w:val="0"/>
                <w:sz w:val="22"/>
                <w:szCs w:val="22"/>
              </w:rPr>
            </w:pPr>
            <w:r>
              <w:rPr>
                <w:rFonts w:ascii="宋体" w:hAnsi="宋体" w:eastAsia="宋体" w:cs="宋体"/>
                <w:color w:val="000000"/>
                <w:spacing w:val="0"/>
                <w:w w:val="100"/>
                <w:position w:val="0"/>
                <w:sz w:val="22"/>
                <w:szCs w:val="22"/>
              </w:rPr>
              <w:t>土地位置</w:t>
            </w:r>
          </w:p>
        </w:tc>
        <w:tc>
          <w:tcPr>
            <w:tcW w:w="1140" w:type="dxa"/>
            <w:vMerge w:val="restart"/>
            <w:tcBorders>
              <w:top w:val="single" w:color="auto" w:sz="4" w:space="0"/>
              <w:lef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ascii="宋体" w:hAnsi="宋体" w:eastAsia="宋体" w:cs="宋体"/>
                <w:color w:val="000000"/>
                <w:spacing w:val="0"/>
                <w:w w:val="100"/>
                <w:position w:val="0"/>
                <w:sz w:val="22"/>
                <w:szCs w:val="22"/>
              </w:rPr>
              <w:t>用地编</w:t>
            </w:r>
            <w:r>
              <w:rPr>
                <w:rFonts w:hint="eastAsia" w:ascii="宋体" w:hAnsi="宋体" w:eastAsia="宋体" w:cs="宋体"/>
                <w:color w:val="000000"/>
                <w:spacing w:val="0"/>
                <w:w w:val="100"/>
                <w:position w:val="0"/>
                <w:sz w:val="22"/>
                <w:szCs w:val="22"/>
                <w:lang w:val="en-US" w:eastAsia="zh-CN"/>
              </w:rPr>
              <w:t>号</w:t>
            </w:r>
          </w:p>
        </w:tc>
        <w:tc>
          <w:tcPr>
            <w:tcW w:w="516" w:type="dxa"/>
            <w:vMerge w:val="restart"/>
            <w:tcBorders>
              <w:top w:val="single" w:color="auto" w:sz="4" w:space="0"/>
              <w:lef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lang w:val="en-US" w:eastAsia="zh-CN"/>
              </w:rPr>
              <w:t>土</w:t>
            </w:r>
            <w:r>
              <w:rPr>
                <w:rFonts w:ascii="宋体" w:hAnsi="宋体" w:eastAsia="宋体" w:cs="宋体"/>
                <w:color w:val="000000"/>
                <w:spacing w:val="0"/>
                <w:w w:val="100"/>
                <w:position w:val="0"/>
                <w:sz w:val="22"/>
                <w:szCs w:val="22"/>
              </w:rPr>
              <w:t>地用途</w:t>
            </w:r>
          </w:p>
        </w:tc>
        <w:tc>
          <w:tcPr>
            <w:tcW w:w="8362" w:type="dxa"/>
            <w:gridSpan w:val="8"/>
            <w:tcBorders>
              <w:top w:val="single" w:color="auto" w:sz="4" w:space="0"/>
              <w:left w:val="single" w:color="auto" w:sz="4" w:space="0"/>
            </w:tcBorders>
            <w:shd w:val="clear" w:color="auto" w:fill="FFFFFF"/>
            <w:vAlign w:val="bottom"/>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宋体" w:hAnsi="宋体" w:eastAsia="宋体" w:cs="宋体"/>
                <w:color w:val="000000"/>
                <w:spacing w:val="0"/>
                <w:w w:val="100"/>
                <w:position w:val="0"/>
                <w:sz w:val="22"/>
                <w:szCs w:val="22"/>
              </w:rPr>
            </w:pPr>
            <w:r>
              <w:rPr>
                <w:rFonts w:ascii="宋体" w:hAnsi="宋体" w:eastAsia="宋体" w:cs="宋体"/>
                <w:color w:val="000000"/>
                <w:spacing w:val="0"/>
                <w:w w:val="100"/>
                <w:position w:val="0"/>
                <w:sz w:val="22"/>
                <w:szCs w:val="22"/>
              </w:rPr>
              <w:t>规划指标要求</w:t>
            </w:r>
          </w:p>
        </w:tc>
        <w:tc>
          <w:tcPr>
            <w:tcW w:w="698" w:type="dxa"/>
            <w:vMerge w:val="restart"/>
            <w:tcBorders>
              <w:top w:val="single" w:color="auto" w:sz="4" w:space="0"/>
              <w:left w:val="single" w:color="auto" w:sz="4" w:space="0"/>
              <w:right w:val="single" w:color="auto" w:sz="4" w:space="0"/>
            </w:tcBorders>
            <w:shd w:val="clear" w:color="auto" w:fill="FFFFFF"/>
            <w:vAlign w:val="top"/>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出让</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年限</w:t>
            </w:r>
            <w:r>
              <w:rPr>
                <w:rFonts w:hint="eastAsia" w:ascii="宋体" w:hAnsi="宋体" w:eastAsia="宋体" w:cs="宋体"/>
                <w:color w:val="000000"/>
                <w:spacing w:val="0"/>
                <w:w w:val="100"/>
                <w:position w:val="0"/>
                <w:sz w:val="22"/>
                <w:szCs w:val="22"/>
                <w:lang w:eastAsia="zh-CN"/>
              </w:rPr>
              <w:t>（</w:t>
            </w:r>
            <w:r>
              <w:rPr>
                <w:rFonts w:hint="eastAsia" w:ascii="宋体" w:hAnsi="宋体" w:eastAsia="宋体" w:cs="宋体"/>
                <w:color w:val="000000"/>
                <w:spacing w:val="0"/>
                <w:w w:val="100"/>
                <w:position w:val="0"/>
                <w:sz w:val="22"/>
                <w:szCs w:val="22"/>
                <w:lang w:val="en-US" w:eastAsia="zh-CN"/>
              </w:rPr>
              <w:t>年）</w:t>
            </w:r>
          </w:p>
        </w:tc>
        <w:tc>
          <w:tcPr>
            <w:tcW w:w="864" w:type="dxa"/>
            <w:vMerge w:val="restart"/>
            <w:tcBorders>
              <w:top w:val="single" w:color="auto" w:sz="4" w:space="0"/>
              <w:left w:val="single" w:color="auto" w:sz="4" w:space="0"/>
              <w:right w:val="single" w:color="auto" w:sz="4" w:space="0"/>
            </w:tcBorders>
            <w:shd w:val="clear" w:color="auto" w:fill="FFFFFF"/>
            <w:vAlign w:val="top"/>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挂牌</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起始价（万元）</w:t>
            </w:r>
          </w:p>
        </w:tc>
        <w:tc>
          <w:tcPr>
            <w:tcW w:w="840" w:type="dxa"/>
            <w:vMerge w:val="restart"/>
            <w:tcBorders>
              <w:top w:val="single" w:color="auto" w:sz="4" w:space="0"/>
              <w:left w:val="single" w:color="auto" w:sz="4" w:space="0"/>
              <w:right w:val="single" w:color="auto" w:sz="4" w:space="0"/>
            </w:tcBorders>
            <w:shd w:val="clear" w:color="auto" w:fill="FFFFFF"/>
            <w:vAlign w:val="top"/>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加价</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幅度</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（万元）</w:t>
            </w:r>
          </w:p>
        </w:tc>
        <w:tc>
          <w:tcPr>
            <w:tcW w:w="1056" w:type="dxa"/>
            <w:vMerge w:val="restart"/>
            <w:tcBorders>
              <w:top w:val="single" w:color="auto" w:sz="4" w:space="0"/>
              <w:left w:val="single" w:color="auto" w:sz="4" w:space="0"/>
              <w:right w:val="single" w:color="auto" w:sz="4" w:space="0"/>
            </w:tcBorders>
            <w:shd w:val="clear" w:color="auto" w:fill="FFFFFF"/>
            <w:vAlign w:val="top"/>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竞买</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保证金</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（万元）</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tc>
        <w:tc>
          <w:tcPr>
            <w:tcW w:w="864" w:type="dxa"/>
            <w:vMerge w:val="restart"/>
            <w:tcBorders>
              <w:top w:val="single" w:color="auto" w:sz="4" w:space="0"/>
              <w:left w:val="single" w:color="auto" w:sz="4" w:space="0"/>
              <w:righ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保证金截止时间</w:t>
            </w:r>
          </w:p>
        </w:tc>
      </w:tr>
      <w:tr>
        <w:tblPrEx>
          <w:tblCellMar>
            <w:top w:w="0" w:type="dxa"/>
            <w:left w:w="10" w:type="dxa"/>
            <w:bottom w:w="0" w:type="dxa"/>
            <w:right w:w="10" w:type="dxa"/>
          </w:tblCellMar>
        </w:tblPrEx>
        <w:trPr>
          <w:trHeight w:val="1433" w:hRule="exact"/>
          <w:jc w:val="center"/>
        </w:trPr>
        <w:tc>
          <w:tcPr>
            <w:tcW w:w="642" w:type="dxa"/>
            <w:vMerge w:val="continue"/>
            <w:tcBorders>
              <w:left w:val="single" w:color="auto" w:sz="4" w:space="0"/>
            </w:tcBorders>
            <w:shd w:val="clear" w:color="auto" w:fill="FFFFFF"/>
            <w:vAlign w:val="center"/>
          </w:tcPr>
          <w:p>
            <w:pPr>
              <w:jc w:val="center"/>
            </w:pPr>
          </w:p>
        </w:tc>
        <w:tc>
          <w:tcPr>
            <w:tcW w:w="630" w:type="dxa"/>
            <w:vMerge w:val="continue"/>
            <w:tcBorders>
              <w:left w:val="single" w:color="auto" w:sz="4" w:space="0"/>
            </w:tcBorders>
            <w:shd w:val="clear" w:color="auto" w:fill="FFFFFF"/>
            <w:vAlign w:val="center"/>
          </w:tcPr>
          <w:p>
            <w:pPr>
              <w:jc w:val="center"/>
            </w:pPr>
          </w:p>
        </w:tc>
        <w:tc>
          <w:tcPr>
            <w:tcW w:w="1140" w:type="dxa"/>
            <w:vMerge w:val="continue"/>
            <w:tcBorders>
              <w:left w:val="single" w:color="auto" w:sz="4" w:space="0"/>
            </w:tcBorders>
            <w:shd w:val="clear" w:color="auto" w:fill="FFFFFF"/>
            <w:vAlign w:val="center"/>
          </w:tcPr>
          <w:p>
            <w:pPr>
              <w:jc w:val="center"/>
            </w:pPr>
          </w:p>
        </w:tc>
        <w:tc>
          <w:tcPr>
            <w:tcW w:w="516" w:type="dxa"/>
            <w:vMerge w:val="continue"/>
            <w:tcBorders>
              <w:left w:val="single" w:color="auto" w:sz="4" w:space="0"/>
            </w:tcBorders>
            <w:shd w:val="clear" w:color="auto" w:fill="FFFFFF"/>
            <w:vAlign w:val="center"/>
          </w:tcPr>
          <w:p>
            <w:pPr>
              <w:jc w:val="center"/>
            </w:pPr>
          </w:p>
        </w:tc>
        <w:tc>
          <w:tcPr>
            <w:tcW w:w="1116" w:type="dxa"/>
            <w:tcBorders>
              <w:top w:val="single" w:color="auto" w:sz="4" w:space="0"/>
              <w:lef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宋体" w:hAnsi="宋体" w:eastAsia="宋体" w:cs="宋体"/>
                <w:color w:val="000000"/>
                <w:spacing w:val="0"/>
                <w:w w:val="100"/>
                <w:position w:val="0"/>
                <w:sz w:val="22"/>
                <w:szCs w:val="22"/>
                <w:lang w:val="en-US" w:eastAsia="zh-CN"/>
              </w:rPr>
            </w:pPr>
            <w:r>
              <w:rPr>
                <w:rFonts w:ascii="宋体" w:hAnsi="宋体" w:eastAsia="宋体" w:cs="宋体"/>
                <w:color w:val="000000"/>
                <w:spacing w:val="0"/>
                <w:w w:val="100"/>
                <w:position w:val="0"/>
                <w:sz w:val="22"/>
                <w:szCs w:val="22"/>
              </w:rPr>
              <w:t>计算指标用地面积</w:t>
            </w:r>
            <w:r>
              <w:rPr>
                <w:rFonts w:hint="eastAsia" w:ascii="宋体" w:hAnsi="宋体" w:eastAsia="宋体" w:cs="宋体"/>
                <w:color w:val="000000"/>
                <w:spacing w:val="0"/>
                <w:w w:val="100"/>
                <w:position w:val="0"/>
                <w:sz w:val="22"/>
                <w:szCs w:val="22"/>
                <w:lang w:eastAsia="zh-CN"/>
              </w:rPr>
              <w:t>（</w:t>
            </w:r>
            <w:r>
              <w:rPr>
                <w:rFonts w:hint="eastAsia" w:ascii="宋体" w:hAnsi="宋体" w:eastAsia="宋体" w:cs="宋体"/>
                <w:color w:val="000000"/>
                <w:spacing w:val="0"/>
                <w:w w:val="100"/>
                <w:position w:val="0"/>
                <w:sz w:val="22"/>
                <w:szCs w:val="22"/>
                <w:lang w:val="en-US" w:eastAsia="zh-CN"/>
              </w:rPr>
              <w:t>㎡）</w:t>
            </w:r>
          </w:p>
        </w:tc>
        <w:tc>
          <w:tcPr>
            <w:tcW w:w="936" w:type="dxa"/>
            <w:tcBorders>
              <w:top w:val="single" w:color="auto" w:sz="4" w:space="0"/>
              <w:lef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宋体" w:hAnsi="宋体" w:eastAsia="宋体" w:cs="宋体"/>
                <w:color w:val="000000"/>
                <w:spacing w:val="0"/>
                <w:w w:val="100"/>
                <w:position w:val="0"/>
                <w:sz w:val="22"/>
                <w:szCs w:val="22"/>
              </w:rPr>
            </w:pPr>
            <w:r>
              <w:rPr>
                <w:rFonts w:ascii="宋体" w:hAnsi="宋体" w:eastAsia="宋体" w:cs="宋体"/>
                <w:color w:val="000000"/>
                <w:spacing w:val="0"/>
                <w:w w:val="100"/>
                <w:position w:val="0"/>
                <w:sz w:val="22"/>
                <w:szCs w:val="22"/>
              </w:rPr>
              <w:t>宗地使用权面积</w:t>
            </w:r>
            <w:r>
              <w:rPr>
                <w:rFonts w:hint="eastAsia" w:ascii="宋体" w:hAnsi="宋体" w:eastAsia="宋体" w:cs="宋体"/>
                <w:color w:val="000000"/>
                <w:spacing w:val="0"/>
                <w:w w:val="100"/>
                <w:position w:val="0"/>
                <w:sz w:val="22"/>
                <w:szCs w:val="22"/>
                <w:lang w:eastAsia="zh-CN"/>
              </w:rPr>
              <w:t>（</w:t>
            </w:r>
            <w:r>
              <w:rPr>
                <w:rFonts w:hint="eastAsia" w:ascii="宋体" w:hAnsi="宋体" w:eastAsia="宋体" w:cs="宋体"/>
                <w:color w:val="000000"/>
                <w:spacing w:val="0"/>
                <w:w w:val="100"/>
                <w:position w:val="0"/>
                <w:sz w:val="22"/>
                <w:szCs w:val="22"/>
                <w:lang w:val="en-US" w:eastAsia="zh-CN"/>
              </w:rPr>
              <w:t>㎡）</w:t>
            </w:r>
          </w:p>
        </w:tc>
        <w:tc>
          <w:tcPr>
            <w:tcW w:w="708" w:type="dxa"/>
            <w:tcBorders>
              <w:top w:val="single" w:color="auto" w:sz="4" w:space="0"/>
              <w:left w:val="single" w:color="auto" w:sz="4" w:space="0"/>
            </w:tcBorders>
            <w:shd w:val="clear" w:color="auto" w:fill="FFFFFF"/>
            <w:vAlign w:val="top"/>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宋体" w:hAnsi="宋体" w:eastAsia="宋体" w:cs="宋体"/>
                <w:color w:val="000000"/>
                <w:spacing w:val="0"/>
                <w:w w:val="100"/>
                <w:position w:val="0"/>
                <w:sz w:val="22"/>
                <w:szCs w:val="22"/>
                <w:lang w:val="en-US" w:eastAsia="zh-CN"/>
              </w:rPr>
            </w:pPr>
            <w:r>
              <w:rPr>
                <w:rFonts w:hint="default" w:ascii="宋体" w:hAnsi="宋体" w:eastAsia="宋体" w:cs="宋体"/>
                <w:color w:val="000000"/>
                <w:spacing w:val="0"/>
                <w:w w:val="100"/>
                <w:position w:val="0"/>
                <w:sz w:val="22"/>
                <w:szCs w:val="22"/>
                <w:lang w:val="en-US" w:eastAsia="zh-CN"/>
              </w:rPr>
              <w:t>建</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宋体" w:hAnsi="宋体" w:eastAsia="宋体" w:cs="宋体"/>
                <w:color w:val="000000"/>
                <w:spacing w:val="0"/>
                <w:w w:val="100"/>
                <w:position w:val="0"/>
                <w:sz w:val="22"/>
                <w:szCs w:val="22"/>
                <w:lang w:val="en-US" w:eastAsia="zh-CN"/>
              </w:rPr>
            </w:pPr>
            <w:r>
              <w:rPr>
                <w:rFonts w:hint="default" w:ascii="宋体" w:hAnsi="宋体" w:eastAsia="宋体" w:cs="宋体"/>
                <w:color w:val="000000"/>
                <w:spacing w:val="0"/>
                <w:w w:val="100"/>
                <w:position w:val="0"/>
                <w:sz w:val="22"/>
                <w:szCs w:val="22"/>
                <w:lang w:val="en-US" w:eastAsia="zh-CN"/>
              </w:rPr>
              <w:t>筑</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eastAsia" w:cs="宋体"/>
                <w:color w:val="000000"/>
                <w:spacing w:val="0"/>
                <w:w w:val="100"/>
                <w:position w:val="0"/>
                <w:sz w:val="22"/>
                <w:szCs w:val="22"/>
                <w:lang w:val="en-US" w:eastAsia="zh-CN"/>
              </w:rPr>
            </w:pPr>
            <w:r>
              <w:rPr>
                <w:rFonts w:hint="eastAsia" w:cs="宋体"/>
                <w:color w:val="000000"/>
                <w:spacing w:val="0"/>
                <w:w w:val="100"/>
                <w:position w:val="0"/>
                <w:sz w:val="22"/>
                <w:szCs w:val="22"/>
                <w:lang w:val="en-US" w:eastAsia="zh-CN"/>
              </w:rPr>
              <w:t>密</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eastAsia" w:cs="宋体"/>
                <w:color w:val="000000"/>
                <w:spacing w:val="0"/>
                <w:w w:val="100"/>
                <w:position w:val="0"/>
                <w:sz w:val="22"/>
                <w:szCs w:val="22"/>
                <w:lang w:val="en-US" w:eastAsia="zh-CN"/>
              </w:rPr>
            </w:pPr>
            <w:r>
              <w:rPr>
                <w:rFonts w:hint="eastAsia" w:cs="宋体"/>
                <w:color w:val="000000"/>
                <w:spacing w:val="0"/>
                <w:w w:val="100"/>
                <w:position w:val="0"/>
                <w:sz w:val="22"/>
                <w:szCs w:val="22"/>
                <w:lang w:val="en-US" w:eastAsia="zh-CN"/>
              </w:rPr>
              <w:t>度</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宋体" w:hAnsi="宋体" w:eastAsia="宋体" w:cs="宋体"/>
                <w:color w:val="000000"/>
                <w:spacing w:val="0"/>
                <w:w w:val="100"/>
                <w:position w:val="0"/>
                <w:sz w:val="22"/>
                <w:szCs w:val="22"/>
                <w:lang w:val="en-US"/>
              </w:rPr>
            </w:pPr>
            <w:r>
              <w:rPr>
                <w:rFonts w:hint="eastAsia" w:ascii="宋体" w:hAnsi="宋体" w:eastAsia="宋体" w:cs="宋体"/>
                <w:color w:val="000000"/>
                <w:spacing w:val="0"/>
                <w:w w:val="100"/>
                <w:position w:val="0"/>
                <w:sz w:val="22"/>
                <w:szCs w:val="22"/>
                <w:lang w:val="en-US" w:eastAsia="zh-CN"/>
              </w:rPr>
              <w:t>（%）</w:t>
            </w:r>
          </w:p>
        </w:tc>
        <w:tc>
          <w:tcPr>
            <w:tcW w:w="852" w:type="dxa"/>
            <w:tcBorders>
              <w:top w:val="single" w:color="auto" w:sz="4" w:space="0"/>
              <w:left w:val="single" w:color="auto" w:sz="4" w:space="0"/>
            </w:tcBorders>
            <w:shd w:val="clear" w:color="auto" w:fill="FFFFFF"/>
            <w:vAlign w:val="top"/>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容</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宋体" w:hAnsi="宋体" w:eastAsia="宋体" w:cs="宋体"/>
                <w:color w:val="000000"/>
                <w:spacing w:val="0"/>
                <w:w w:val="100"/>
                <w:position w:val="0"/>
                <w:sz w:val="22"/>
                <w:szCs w:val="22"/>
              </w:rPr>
            </w:pPr>
            <w:r>
              <w:rPr>
                <w:rFonts w:ascii="宋体" w:hAnsi="宋体" w:eastAsia="宋体" w:cs="宋体"/>
                <w:color w:val="000000"/>
                <w:spacing w:val="0"/>
                <w:w w:val="100"/>
                <w:position w:val="0"/>
                <w:sz w:val="22"/>
                <w:szCs w:val="22"/>
              </w:rPr>
              <w:t>积</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宋体" w:hAnsi="宋体" w:eastAsia="宋体" w:cs="宋体"/>
                <w:color w:val="000000"/>
                <w:spacing w:val="0"/>
                <w:w w:val="100"/>
                <w:position w:val="0"/>
                <w:sz w:val="22"/>
                <w:szCs w:val="22"/>
              </w:rPr>
            </w:pPr>
            <w:r>
              <w:rPr>
                <w:rFonts w:ascii="宋体" w:hAnsi="宋体" w:eastAsia="宋体" w:cs="宋体"/>
                <w:color w:val="000000"/>
                <w:spacing w:val="0"/>
                <w:w w:val="100"/>
                <w:position w:val="0"/>
                <w:sz w:val="22"/>
                <w:szCs w:val="22"/>
              </w:rPr>
              <w:t>率</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R</w:t>
            </w:r>
          </w:p>
        </w:tc>
        <w:tc>
          <w:tcPr>
            <w:tcW w:w="1740" w:type="dxa"/>
            <w:tcBorders>
              <w:top w:val="single" w:color="auto" w:sz="4" w:space="0"/>
              <w:lef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ascii="宋体" w:hAnsi="宋体" w:eastAsia="宋体" w:cs="宋体"/>
                <w:color w:val="000000"/>
                <w:spacing w:val="0"/>
                <w:w w:val="100"/>
                <w:position w:val="0"/>
                <w:sz w:val="22"/>
                <w:szCs w:val="22"/>
              </w:rPr>
              <w:t>计容积率建筑面积</w:t>
            </w:r>
            <w:r>
              <w:rPr>
                <w:rFonts w:hint="eastAsia" w:ascii="宋体" w:hAnsi="宋体" w:eastAsia="宋体" w:cs="宋体"/>
                <w:color w:val="000000"/>
                <w:spacing w:val="0"/>
                <w:w w:val="100"/>
                <w:position w:val="0"/>
                <w:sz w:val="22"/>
                <w:szCs w:val="22"/>
                <w:lang w:val="en-US" w:eastAsia="zh-CN"/>
              </w:rPr>
              <w:t>S</w:t>
            </w: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eastAsia="zh-CN"/>
              </w:rPr>
              <w:t>（</w:t>
            </w:r>
            <w:r>
              <w:rPr>
                <w:rFonts w:hint="eastAsia" w:ascii="宋体" w:hAnsi="宋体" w:eastAsia="宋体" w:cs="宋体"/>
                <w:color w:val="000000"/>
                <w:spacing w:val="0"/>
                <w:w w:val="100"/>
                <w:position w:val="0"/>
                <w:sz w:val="22"/>
                <w:szCs w:val="22"/>
                <w:lang w:val="en-US" w:eastAsia="zh-CN"/>
              </w:rPr>
              <w:t>㎡）</w:t>
            </w:r>
          </w:p>
        </w:tc>
        <w:tc>
          <w:tcPr>
            <w:tcW w:w="678" w:type="dxa"/>
            <w:tcBorders>
              <w:top w:val="single" w:color="auto" w:sz="4" w:space="0"/>
              <w:left w:val="single" w:color="auto" w:sz="4" w:space="0"/>
            </w:tcBorders>
            <w:shd w:val="clear" w:color="auto" w:fill="FFFFFF"/>
            <w:vAlign w:val="center"/>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宋体" w:hAnsi="宋体" w:eastAsia="宋体" w:cs="宋体"/>
                <w:color w:val="000000"/>
                <w:spacing w:val="0"/>
                <w:w w:val="100"/>
                <w:position w:val="0"/>
                <w:sz w:val="22"/>
                <w:szCs w:val="22"/>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宋体" w:hAnsi="宋体" w:eastAsia="宋体" w:cs="宋体"/>
                <w:color w:val="000000"/>
                <w:spacing w:val="0"/>
                <w:w w:val="100"/>
                <w:position w:val="0"/>
                <w:sz w:val="22"/>
                <w:szCs w:val="22"/>
              </w:rPr>
            </w:pPr>
            <w:r>
              <w:rPr>
                <w:rFonts w:ascii="宋体" w:hAnsi="宋体" w:eastAsia="宋体" w:cs="宋体"/>
                <w:color w:val="000000"/>
                <w:spacing w:val="0"/>
                <w:w w:val="100"/>
                <w:position w:val="0"/>
                <w:sz w:val="22"/>
                <w:szCs w:val="22"/>
              </w:rPr>
              <w:t>绿地率</w:t>
            </w:r>
            <w:r>
              <w:rPr>
                <w:rFonts w:hint="eastAsia" w:ascii="宋体" w:hAnsi="宋体" w:eastAsia="宋体" w:cs="宋体"/>
                <w:color w:val="000000"/>
                <w:spacing w:val="0"/>
                <w:w w:val="100"/>
                <w:position w:val="0"/>
                <w:sz w:val="22"/>
                <w:szCs w:val="22"/>
                <w:lang w:val="en-US" w:eastAsia="zh-CN"/>
              </w:rPr>
              <w:t>（%）</w:t>
            </w:r>
          </w:p>
        </w:tc>
        <w:tc>
          <w:tcPr>
            <w:tcW w:w="1685" w:type="dxa"/>
            <w:tcBorders>
              <w:top w:val="single" w:color="auto" w:sz="4" w:space="0"/>
              <w:left w:val="single" w:color="auto" w:sz="4" w:space="0"/>
            </w:tcBorders>
            <w:shd w:val="clear" w:color="auto" w:fill="FFFFFF"/>
            <w:vAlign w:val="top"/>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zh-TW" w:eastAsia="zh-TW"/>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ascii="宋体" w:hAnsi="宋体" w:eastAsia="宋体" w:cs="宋体"/>
                <w:color w:val="000000"/>
                <w:spacing w:val="0"/>
                <w:w w:val="100"/>
                <w:position w:val="0"/>
                <w:sz w:val="22"/>
                <w:szCs w:val="22"/>
              </w:rPr>
            </w:pPr>
            <w:r>
              <w:rPr>
                <w:rFonts w:hint="eastAsia" w:ascii="宋体" w:hAnsi="宋体" w:eastAsia="宋体" w:cs="宋体"/>
                <w:color w:val="000000"/>
                <w:spacing w:val="0"/>
                <w:w w:val="100"/>
                <w:position w:val="0"/>
                <w:sz w:val="22"/>
                <w:szCs w:val="22"/>
                <w:lang w:val="zh-TW" w:eastAsia="zh-TW"/>
              </w:rPr>
              <w:t>机动车停车位配建要求</w:t>
            </w:r>
          </w:p>
        </w:tc>
        <w:tc>
          <w:tcPr>
            <w:tcW w:w="647" w:type="dxa"/>
            <w:tcBorders>
              <w:top w:val="single" w:color="auto" w:sz="4" w:space="0"/>
              <w:left w:val="single" w:color="auto" w:sz="4" w:space="0"/>
            </w:tcBorders>
            <w:shd w:val="clear" w:color="auto" w:fill="FFFFFF"/>
            <w:vAlign w:val="top"/>
          </w:tcPr>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p>
          <w:p>
            <w:pPr>
              <w:pStyle w:val="34"/>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eastAsia" w:ascii="宋体" w:hAnsi="宋体" w:eastAsia="宋体" w:cs="宋体"/>
                <w:color w:val="000000"/>
                <w:spacing w:val="0"/>
                <w:w w:val="100"/>
                <w:position w:val="0"/>
                <w:sz w:val="22"/>
                <w:szCs w:val="22"/>
                <w:lang w:val="en-US" w:eastAsia="zh-CN"/>
              </w:rPr>
            </w:pPr>
            <w:r>
              <w:rPr>
                <w:rFonts w:hint="eastAsia" w:ascii="宋体" w:hAnsi="宋体" w:eastAsia="宋体" w:cs="宋体"/>
                <w:color w:val="000000"/>
                <w:spacing w:val="0"/>
                <w:w w:val="100"/>
                <w:position w:val="0"/>
                <w:sz w:val="22"/>
                <w:szCs w:val="22"/>
                <w:lang w:val="en-US" w:eastAsia="zh-CN"/>
              </w:rPr>
              <w:t>其他</w:t>
            </w:r>
          </w:p>
        </w:tc>
        <w:tc>
          <w:tcPr>
            <w:tcW w:w="698" w:type="dxa"/>
            <w:vMerge w:val="continue"/>
            <w:tcBorders>
              <w:left w:val="single" w:color="auto" w:sz="4" w:space="0"/>
              <w:right w:val="single" w:color="auto" w:sz="4" w:space="0"/>
            </w:tcBorders>
            <w:shd w:val="clear" w:color="auto" w:fill="FFFFFF"/>
            <w:textDirection w:val="tbRlV"/>
            <w:vAlign w:val="top"/>
          </w:tcPr>
          <w:p>
            <w:pPr>
              <w:pStyle w:val="35"/>
              <w:keepNext w:val="0"/>
              <w:keepLines w:val="0"/>
              <w:pageBreakBefore w:val="0"/>
              <w:widowControl w:val="0"/>
              <w:shd w:val="clear" w:color="auto" w:fill="auto"/>
              <w:kinsoku/>
              <w:wordWrap/>
              <w:overflowPunct/>
              <w:topLinePunct w:val="0"/>
              <w:autoSpaceDE/>
              <w:autoSpaceDN/>
              <w:bidi w:val="0"/>
              <w:adjustRightInd/>
              <w:snapToGrid/>
              <w:spacing w:before="340" w:after="0" w:line="240" w:lineRule="auto"/>
              <w:ind w:left="0" w:right="0" w:firstLine="0"/>
              <w:jc w:val="center"/>
              <w:textAlignment w:val="auto"/>
              <w:rPr>
                <w:rFonts w:hint="default" w:eastAsia="宋体"/>
                <w:lang w:val="en-US" w:eastAsia="zh-CN"/>
              </w:rPr>
            </w:pPr>
          </w:p>
        </w:tc>
        <w:tc>
          <w:tcPr>
            <w:tcW w:w="864" w:type="dxa"/>
            <w:vMerge w:val="continue"/>
            <w:tcBorders>
              <w:left w:val="single" w:color="auto" w:sz="4" w:space="0"/>
              <w:right w:val="single" w:color="auto" w:sz="4" w:space="0"/>
            </w:tcBorders>
            <w:shd w:val="clear" w:color="auto" w:fill="FFFFFF"/>
            <w:textDirection w:val="tbRlV"/>
            <w:vAlign w:val="top"/>
          </w:tcPr>
          <w:p>
            <w:pPr>
              <w:pStyle w:val="35"/>
              <w:keepNext w:val="0"/>
              <w:keepLines w:val="0"/>
              <w:widowControl w:val="0"/>
              <w:shd w:val="clear" w:color="auto" w:fill="auto"/>
              <w:bidi w:val="0"/>
              <w:spacing w:before="340" w:after="0" w:line="240" w:lineRule="auto"/>
              <w:ind w:left="0" w:right="0" w:firstLine="0"/>
              <w:jc w:val="center"/>
              <w:rPr>
                <w:color w:val="000000"/>
                <w:spacing w:val="0"/>
                <w:w w:val="100"/>
                <w:position w:val="0"/>
              </w:rPr>
            </w:pPr>
          </w:p>
        </w:tc>
        <w:tc>
          <w:tcPr>
            <w:tcW w:w="840" w:type="dxa"/>
            <w:vMerge w:val="continue"/>
            <w:tcBorders>
              <w:left w:val="single" w:color="auto" w:sz="4" w:space="0"/>
              <w:right w:val="single" w:color="auto" w:sz="4" w:space="0"/>
            </w:tcBorders>
            <w:shd w:val="clear" w:color="auto" w:fill="FFFFFF"/>
            <w:textDirection w:val="tbRlV"/>
            <w:vAlign w:val="top"/>
          </w:tcPr>
          <w:p>
            <w:pPr>
              <w:pStyle w:val="35"/>
              <w:keepNext w:val="0"/>
              <w:keepLines w:val="0"/>
              <w:widowControl w:val="0"/>
              <w:shd w:val="clear" w:color="auto" w:fill="auto"/>
              <w:bidi w:val="0"/>
              <w:spacing w:before="340" w:after="0" w:line="240" w:lineRule="auto"/>
              <w:ind w:left="0" w:right="0" w:firstLine="0"/>
              <w:jc w:val="center"/>
              <w:rPr>
                <w:color w:val="000000"/>
                <w:spacing w:val="0"/>
                <w:w w:val="100"/>
                <w:position w:val="0"/>
              </w:rPr>
            </w:pPr>
          </w:p>
        </w:tc>
        <w:tc>
          <w:tcPr>
            <w:tcW w:w="1056" w:type="dxa"/>
            <w:vMerge w:val="continue"/>
            <w:tcBorders>
              <w:left w:val="single" w:color="auto" w:sz="4" w:space="0"/>
              <w:right w:val="single" w:color="auto" w:sz="4" w:space="0"/>
            </w:tcBorders>
            <w:shd w:val="clear" w:color="auto" w:fill="FFFFFF"/>
            <w:textDirection w:val="tbRlV"/>
            <w:vAlign w:val="top"/>
          </w:tcPr>
          <w:p>
            <w:pPr>
              <w:pStyle w:val="35"/>
              <w:keepNext w:val="0"/>
              <w:keepLines w:val="0"/>
              <w:widowControl w:val="0"/>
              <w:shd w:val="clear" w:color="auto" w:fill="auto"/>
              <w:bidi w:val="0"/>
              <w:spacing w:before="340" w:after="0" w:line="240" w:lineRule="auto"/>
              <w:ind w:left="0" w:right="0" w:firstLine="0"/>
              <w:jc w:val="center"/>
              <w:rPr>
                <w:color w:val="000000"/>
                <w:spacing w:val="0"/>
                <w:w w:val="100"/>
                <w:position w:val="0"/>
              </w:rPr>
            </w:pPr>
          </w:p>
        </w:tc>
        <w:tc>
          <w:tcPr>
            <w:tcW w:w="864" w:type="dxa"/>
            <w:vMerge w:val="continue"/>
            <w:tcBorders>
              <w:left w:val="single" w:color="auto" w:sz="4" w:space="0"/>
              <w:right w:val="single" w:color="auto" w:sz="4" w:space="0"/>
            </w:tcBorders>
            <w:shd w:val="clear" w:color="auto" w:fill="FFFFFF"/>
            <w:textDirection w:val="tbRlV"/>
            <w:vAlign w:val="top"/>
          </w:tcPr>
          <w:p>
            <w:pPr>
              <w:pStyle w:val="35"/>
              <w:keepNext w:val="0"/>
              <w:keepLines w:val="0"/>
              <w:widowControl w:val="0"/>
              <w:shd w:val="clear" w:color="auto" w:fill="auto"/>
              <w:bidi w:val="0"/>
              <w:spacing w:before="340" w:after="0" w:line="240" w:lineRule="auto"/>
              <w:ind w:left="0" w:right="0" w:firstLine="0"/>
              <w:jc w:val="center"/>
              <w:rPr>
                <w:color w:val="000000"/>
                <w:spacing w:val="0"/>
                <w:w w:val="100"/>
                <w:position w:val="0"/>
              </w:rPr>
            </w:pPr>
          </w:p>
        </w:tc>
      </w:tr>
      <w:tr>
        <w:tblPrEx>
          <w:tblCellMar>
            <w:top w:w="0" w:type="dxa"/>
            <w:left w:w="10" w:type="dxa"/>
            <w:bottom w:w="0" w:type="dxa"/>
            <w:right w:w="10" w:type="dxa"/>
          </w:tblCellMar>
        </w:tblPrEx>
        <w:trPr>
          <w:trHeight w:val="2835" w:hRule="exact"/>
          <w:jc w:val="center"/>
        </w:trPr>
        <w:tc>
          <w:tcPr>
            <w:tcW w:w="642"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惠仲土挂告[2022]</w:t>
            </w:r>
            <w:r>
              <w:rPr>
                <w:rFonts w:hint="eastAsia" w:cs="Times New Roman"/>
                <w:sz w:val="20"/>
                <w:szCs w:val="20"/>
                <w:lang w:val="en-US" w:eastAsia="zh-CN"/>
              </w:rPr>
              <w:t>00</w:t>
            </w:r>
            <w:r>
              <w:rPr>
                <w:rFonts w:hint="eastAsia" w:ascii="Times New Roman" w:hAnsi="Times New Roman" w:eastAsia="Times New Roman" w:cs="Times New Roman"/>
                <w:sz w:val="20"/>
                <w:szCs w:val="20"/>
                <w:lang w:val="en-US" w:eastAsia="zh-CN"/>
              </w:rPr>
              <w:t>2号</w:t>
            </w:r>
          </w:p>
          <w:p>
            <w:pPr>
              <w:widowControl w:val="0"/>
              <w:jc w:val="center"/>
              <w:rPr>
                <w:sz w:val="10"/>
                <w:szCs w:val="10"/>
              </w:rPr>
            </w:pPr>
          </w:p>
        </w:tc>
        <w:tc>
          <w:tcPr>
            <w:tcW w:w="630"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仲恺高新区潼湖生态智慧区梧村河东片区</w:t>
            </w:r>
          </w:p>
        </w:tc>
        <w:tc>
          <w:tcPr>
            <w:tcW w:w="1140"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ZKC-063-19</w:t>
            </w:r>
          </w:p>
        </w:tc>
        <w:tc>
          <w:tcPr>
            <w:tcW w:w="516"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住宅及商服用地</w:t>
            </w:r>
          </w:p>
        </w:tc>
        <w:tc>
          <w:tcPr>
            <w:tcW w:w="1116"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18024</w:t>
            </w:r>
          </w:p>
        </w:tc>
        <w:tc>
          <w:tcPr>
            <w:tcW w:w="936"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13889</w:t>
            </w:r>
          </w:p>
        </w:tc>
        <w:tc>
          <w:tcPr>
            <w:tcW w:w="708"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≤22</w:t>
            </w:r>
          </w:p>
        </w:tc>
        <w:tc>
          <w:tcPr>
            <w:tcW w:w="852"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R</w:t>
            </w:r>
            <w:r>
              <w:rPr>
                <w:rFonts w:hint="default" w:ascii="Times New Roman" w:hAnsi="Times New Roman" w:eastAsia="Times New Roman" w:cs="Times New Roman"/>
                <w:sz w:val="20"/>
                <w:szCs w:val="20"/>
                <w:lang w:val="en-US" w:eastAsia="zh-CN"/>
              </w:rPr>
              <w:t>≤</w:t>
            </w:r>
            <w:r>
              <w:rPr>
                <w:rFonts w:hint="eastAsia" w:ascii="Times New Roman" w:hAnsi="Times New Roman" w:eastAsia="Times New Roman" w:cs="Times New Roman"/>
                <w:sz w:val="20"/>
                <w:szCs w:val="20"/>
                <w:lang w:val="en-US" w:eastAsia="zh-CN"/>
              </w:rPr>
              <w:t>2.8</w:t>
            </w:r>
          </w:p>
        </w:tc>
        <w:tc>
          <w:tcPr>
            <w:tcW w:w="1740"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S</w:t>
            </w:r>
            <w:r>
              <w:rPr>
                <w:rFonts w:hint="default" w:ascii="Times New Roman" w:hAnsi="Times New Roman" w:eastAsia="Times New Roman" w:cs="Times New Roman"/>
                <w:sz w:val="20"/>
                <w:szCs w:val="20"/>
                <w:lang w:val="en-US" w:eastAsia="zh-CN"/>
              </w:rPr>
              <w:t>≤</w:t>
            </w:r>
            <w:r>
              <w:rPr>
                <w:rFonts w:hint="eastAsia" w:ascii="Times New Roman" w:hAnsi="Times New Roman" w:eastAsia="Times New Roman" w:cs="Times New Roman"/>
                <w:sz w:val="20"/>
                <w:szCs w:val="20"/>
                <w:lang w:val="en-US" w:eastAsia="zh-CN"/>
              </w:rPr>
              <w:t>50467</w:t>
            </w:r>
          </w:p>
          <w:p>
            <w:pPr>
              <w:keepNext w:val="0"/>
              <w:keepLines w:val="0"/>
              <w:pageBreakBefore w:val="0"/>
              <w:widowControl w:val="0"/>
              <w:shd w:val="clear" w:color="auto" w:fill="auto"/>
              <w:kinsoku/>
              <w:wordWrap/>
              <w:overflowPunct/>
              <w:topLinePunct w:val="0"/>
              <w:autoSpaceDE/>
              <w:autoSpaceDN/>
              <w:bidi w:val="0"/>
              <w:adjustRightInd/>
              <w:snapToGrid/>
              <w:jc w:val="left"/>
              <w:textAlignment w:val="auto"/>
              <w:rPr>
                <w:rFonts w:hint="default" w:ascii="Times New Roman" w:hAnsi="Times New Roman" w:eastAsia="Times New Roman" w:cs="Times New Roman"/>
                <w:sz w:val="20"/>
                <w:szCs w:val="20"/>
                <w:lang w:val="en-US" w:eastAsia="zh-CN"/>
              </w:rPr>
            </w:pPr>
            <w:r>
              <w:rPr>
                <w:rFonts w:hint="eastAsia" w:eastAsia="Times New Roman" w:cs="Times New Roman"/>
                <w:sz w:val="20"/>
                <w:szCs w:val="20"/>
                <w:lang w:val="en-US" w:eastAsia="zh-CN"/>
              </w:rPr>
              <w:t>（</w:t>
            </w:r>
            <w:r>
              <w:rPr>
                <w:rFonts w:hint="default" w:ascii="Times New Roman" w:hAnsi="Times New Roman" w:eastAsia="Times New Roman" w:cs="Times New Roman"/>
                <w:sz w:val="20"/>
                <w:szCs w:val="20"/>
                <w:lang w:val="en-US" w:eastAsia="zh-CN"/>
              </w:rPr>
              <w:t>兼容的商业建筑面积占该地块总计容积率建筑面积的3%-10%，兼容的商业用地不能建设服务型公寓</w:t>
            </w:r>
            <w:r>
              <w:rPr>
                <w:rFonts w:hint="eastAsia" w:eastAsia="Times New Roman" w:cs="Times New Roman"/>
                <w:sz w:val="20"/>
                <w:szCs w:val="20"/>
                <w:lang w:val="en-US" w:eastAsia="zh-CN"/>
              </w:rPr>
              <w:t>）</w:t>
            </w:r>
          </w:p>
        </w:tc>
        <w:tc>
          <w:tcPr>
            <w:tcW w:w="678"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≥35</w:t>
            </w:r>
          </w:p>
        </w:tc>
        <w:tc>
          <w:tcPr>
            <w:tcW w:w="1685"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both"/>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商住部分按每100平方米计容积率建筑面积≥1</w:t>
            </w:r>
            <w:r>
              <w:rPr>
                <w:rFonts w:hint="eastAsia" w:ascii="Times New Roman" w:hAnsi="Times New Roman" w:eastAsia="Times New Roman" w:cs="Times New Roman"/>
                <w:sz w:val="20"/>
                <w:szCs w:val="20"/>
                <w:lang w:val="en-US" w:eastAsia="zh-CN"/>
              </w:rPr>
              <w:t>个，</w:t>
            </w:r>
            <w:r>
              <w:rPr>
                <w:rFonts w:hint="default" w:ascii="Times New Roman" w:hAnsi="Times New Roman" w:eastAsia="Times New Roman" w:cs="Times New Roman"/>
                <w:sz w:val="20"/>
                <w:szCs w:val="20"/>
                <w:lang w:val="en-US" w:eastAsia="zh-CN"/>
              </w:rPr>
              <w:t>地面停车数占总停车数的比例≤10%</w:t>
            </w:r>
            <w:r>
              <w:rPr>
                <w:rFonts w:hint="eastAsia" w:eastAsia="Times New Roman" w:cs="Times New Roman"/>
                <w:sz w:val="20"/>
                <w:szCs w:val="20"/>
                <w:lang w:val="en-US" w:eastAsia="zh-CN"/>
              </w:rPr>
              <w:t>。</w:t>
            </w:r>
            <w:r>
              <w:rPr>
                <w:rFonts w:hint="default" w:ascii="Times New Roman" w:hAnsi="Times New Roman" w:eastAsia="Times New Roman" w:cs="Times New Roman"/>
                <w:sz w:val="20"/>
                <w:szCs w:val="20"/>
                <w:lang w:val="en-US" w:eastAsia="zh-CN"/>
              </w:rPr>
              <w:t>配建停车位应按要求建设充电基础设施或预留建设安装条件</w:t>
            </w: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tc>
        <w:tc>
          <w:tcPr>
            <w:tcW w:w="647" w:type="dxa"/>
            <w:tcBorders>
              <w:top w:val="single" w:color="auto" w:sz="4" w:space="0"/>
              <w:left w:val="single" w:color="auto" w:sz="4" w:space="0"/>
              <w:bottom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eastAsia="Times New Roman" w:cs="Times New Roman"/>
                <w:sz w:val="20"/>
                <w:szCs w:val="20"/>
                <w:lang w:val="en-US" w:eastAsia="zh-CN"/>
              </w:rPr>
              <w:t>/</w:t>
            </w:r>
          </w:p>
        </w:tc>
        <w:tc>
          <w:tcPr>
            <w:tcW w:w="69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lang w:val="en-US" w:eastAsia="zh-CN"/>
              </w:rPr>
            </w:pPr>
          </w:p>
          <w:p>
            <w:pPr>
              <w:pStyle w:val="5"/>
              <w:jc w:val="center"/>
              <w:rPr>
                <w:rFonts w:hint="eastAsia"/>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住宅</w:t>
            </w: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70年</w:t>
            </w: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宋体" w:cs="Times New Roman"/>
                <w:sz w:val="20"/>
                <w:szCs w:val="20"/>
                <w:lang w:val="en-US" w:eastAsia="zh-CN"/>
              </w:rPr>
            </w:pPr>
            <w:r>
              <w:rPr>
                <w:rFonts w:hint="eastAsia" w:ascii="Times New Roman" w:hAnsi="Times New Roman" w:eastAsia="Times New Roman" w:cs="Times New Roman"/>
                <w:sz w:val="20"/>
                <w:szCs w:val="20"/>
                <w:lang w:val="en-US" w:eastAsia="zh-CN"/>
              </w:rPr>
              <w:t>商</w:t>
            </w:r>
            <w:r>
              <w:rPr>
                <w:rFonts w:hint="eastAsia" w:eastAsia="Times New Roman" w:cs="Times New Roman"/>
                <w:sz w:val="20"/>
                <w:szCs w:val="20"/>
                <w:lang w:val="en-US" w:eastAsia="zh-CN"/>
              </w:rPr>
              <w:t>服</w:t>
            </w:r>
            <w:bookmarkStart w:id="0" w:name="_GoBack"/>
            <w:bookmarkEnd w:id="0"/>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lang w:val="en-US" w:eastAsia="zh-CN"/>
              </w:rPr>
            </w:pPr>
            <w:r>
              <w:rPr>
                <w:rFonts w:hint="eastAsia" w:ascii="Times New Roman" w:hAnsi="Times New Roman" w:eastAsia="Times New Roman" w:cs="Times New Roman"/>
                <w:sz w:val="20"/>
                <w:szCs w:val="20"/>
                <w:lang w:val="en-US" w:eastAsia="zh-CN"/>
              </w:rPr>
              <w:t>40年</w:t>
            </w:r>
          </w:p>
        </w:tc>
        <w:tc>
          <w:tcPr>
            <w:tcW w:w="86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18592</w:t>
            </w:r>
          </w:p>
        </w:tc>
        <w:tc>
          <w:tcPr>
            <w:tcW w:w="840"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100</w:t>
            </w:r>
          </w:p>
        </w:tc>
        <w:tc>
          <w:tcPr>
            <w:tcW w:w="1056"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r>
              <w:rPr>
                <w:rFonts w:hint="default" w:ascii="Times New Roman" w:hAnsi="Times New Roman" w:eastAsia="Times New Roman" w:cs="Times New Roman"/>
                <w:sz w:val="20"/>
                <w:szCs w:val="20"/>
                <w:lang w:val="en-US" w:eastAsia="zh-CN"/>
              </w:rPr>
              <w:t>9296</w:t>
            </w:r>
          </w:p>
        </w:tc>
        <w:tc>
          <w:tcPr>
            <w:tcW w:w="864"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eastAsia" w:ascii="Times New Roman" w:hAnsi="Times New Roman" w:eastAsia="Times New Roman" w:cs="Times New Roman"/>
                <w:sz w:val="20"/>
                <w:szCs w:val="20"/>
                <w:lang w:val="en-US" w:eastAsia="zh-CN"/>
              </w:rPr>
            </w:pPr>
            <w:r>
              <w:rPr>
                <w:rFonts w:hint="eastAsia" w:ascii="Times New Roman" w:hAnsi="Times New Roman" w:eastAsia="Times New Roman" w:cs="Times New Roman"/>
                <w:sz w:val="20"/>
                <w:szCs w:val="20"/>
                <w:lang w:val="en-US" w:eastAsia="zh-CN"/>
              </w:rPr>
              <w:t>2022年10月1</w:t>
            </w:r>
            <w:r>
              <w:rPr>
                <w:rFonts w:hint="eastAsia" w:eastAsia="Times New Roman" w:cs="Times New Roman"/>
                <w:sz w:val="20"/>
                <w:szCs w:val="20"/>
                <w:lang w:val="en-US" w:eastAsia="zh-CN"/>
              </w:rPr>
              <w:t>8</w:t>
            </w:r>
            <w:r>
              <w:rPr>
                <w:rFonts w:hint="eastAsia" w:ascii="Times New Roman" w:hAnsi="Times New Roman" w:eastAsia="Times New Roman" w:cs="Times New Roman"/>
                <w:sz w:val="20"/>
                <w:szCs w:val="20"/>
                <w:lang w:val="en-US" w:eastAsia="zh-CN"/>
              </w:rPr>
              <w:t>日9时</w:t>
            </w:r>
          </w:p>
        </w:tc>
      </w:tr>
    </w:tbl>
    <w:p>
      <w:pPr>
        <w:pStyle w:val="4"/>
        <w:rPr>
          <w:rFonts w:hint="eastAsia"/>
        </w:rPr>
      </w:pPr>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script"/>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1216660</wp:posOffset>
              </wp:positionH>
              <wp:positionV relativeFrom="page">
                <wp:posOffset>10060305</wp:posOffset>
              </wp:positionV>
              <wp:extent cx="420370" cy="82550"/>
              <wp:effectExtent l="0" t="0" r="0" b="0"/>
              <wp:wrapNone/>
              <wp:docPr id="54" name="Shape 54"/>
              <wp:cNvGraphicFramePr/>
              <a:graphic xmlns:a="http://schemas.openxmlformats.org/drawingml/2006/main">
                <a:graphicData uri="http://schemas.microsoft.com/office/word/2010/wordprocessingShape">
                  <wps:wsp>
                    <wps:cNvSpPr txBox="1"/>
                    <wps:spPr>
                      <a:xfrm>
                        <a:off x="0" y="0"/>
                        <a:ext cx="420370" cy="82550"/>
                      </a:xfrm>
                      <a:prstGeom prst="rect">
                        <a:avLst/>
                      </a:prstGeom>
                      <a:noFill/>
                    </wps:spPr>
                    <wps:txbx>
                      <w:txbxContent>
                        <w:p>
                          <w:pPr>
                            <w:pStyle w:val="3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rPr>
                            <w:t>20</w:t>
                          </w:r>
                          <w:r>
                            <w:rPr>
                              <w:rFonts w:ascii="Times New Roman" w:hAnsi="Times New Roman" w:eastAsia="Times New Roman" w:cs="Times New Roman"/>
                              <w:color w:val="000000"/>
                              <w:spacing w:val="0"/>
                              <w:w w:val="100"/>
                              <w:position w:val="0"/>
                              <w:lang w:val="en-US" w:eastAsia="en-US" w:bidi="en-US"/>
                            </w:rPr>
                            <w:t>—</w:t>
                          </w:r>
                        </w:p>
                      </w:txbxContent>
                    </wps:txbx>
                    <wps:bodyPr wrap="none" lIns="0" tIns="0" rIns="0" bIns="0">
                      <a:spAutoFit/>
                    </wps:bodyPr>
                  </wps:wsp>
                </a:graphicData>
              </a:graphic>
            </wp:anchor>
          </w:drawing>
        </mc:Choice>
        <mc:Fallback>
          <w:pict>
            <v:shape id="Shape 54" o:spid="_x0000_s1026" o:spt="202" type="#_x0000_t202" style="position:absolute;left:0pt;margin-left:95.8pt;margin-top:792.15pt;height:6.5pt;width:33.1pt;mso-position-horizontal-relative:page;mso-position-vertical-relative:page;mso-wrap-style:none;z-index:-251657216;mso-width-relative:page;mso-height-relative:page;" filled="f" stroked="f" coordsize="21600,21600" o:gfxdata="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McBtytkAAAANAQAADwAAAAAAAAABACAAAAAiAAAAZHJzL2Rv&#10;d25yZXYueG1sUEsBAhQAFAAAAAgAh07iQElhv8yOAQAAIgMAAA4AAAAAAAAAAQAgAAAAKAEAAGRy&#10;cy9lMm9Eb2MueG1sUEsFBgAAAAAGAAYAWQEAACgFAAAAAA==&#10;">
              <v:fill on="f" focussize="0,0"/>
              <v:stroke on="f"/>
              <v:imagedata o:title=""/>
              <o:lock v:ext="edit" aspectratio="f"/>
              <v:textbox inset="0mm,0mm,0mm,0mm" style="mso-fit-shape-to-text:t;">
                <w:txbxContent>
                  <w:p>
                    <w:pPr>
                      <w:pStyle w:val="3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rPr>
                      <w:t>20</w:t>
                    </w:r>
                    <w:r>
                      <w:rPr>
                        <w:rFonts w:ascii="Times New Roman" w:hAnsi="Times New Roman" w:eastAsia="Times New Roman" w:cs="Times New Roman"/>
                        <w:color w:val="000000"/>
                        <w:spacing w:val="0"/>
                        <w:w w:val="100"/>
                        <w:position w:val="0"/>
                        <w:lang w:val="en-US" w:eastAsia="en-US" w:bidi="en-US"/>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OWVkOGYwOWJhZGY2OWQxNmU0OTIzZTVhMGUzYjAifQ=="/>
  </w:docVars>
  <w:rsids>
    <w:rsidRoot w:val="006F43B4"/>
    <w:rsid w:val="00055381"/>
    <w:rsid w:val="00156890"/>
    <w:rsid w:val="00291F43"/>
    <w:rsid w:val="003846E2"/>
    <w:rsid w:val="003D7B27"/>
    <w:rsid w:val="00502E7E"/>
    <w:rsid w:val="00593588"/>
    <w:rsid w:val="00626965"/>
    <w:rsid w:val="00651A33"/>
    <w:rsid w:val="006F43B4"/>
    <w:rsid w:val="00723053"/>
    <w:rsid w:val="008237B5"/>
    <w:rsid w:val="009D3A41"/>
    <w:rsid w:val="009F2092"/>
    <w:rsid w:val="009F209E"/>
    <w:rsid w:val="00A01903"/>
    <w:rsid w:val="00A26F37"/>
    <w:rsid w:val="00A62B04"/>
    <w:rsid w:val="00A703FF"/>
    <w:rsid w:val="00AB4CB1"/>
    <w:rsid w:val="00AB5656"/>
    <w:rsid w:val="00AE30A8"/>
    <w:rsid w:val="00B4275A"/>
    <w:rsid w:val="00B91373"/>
    <w:rsid w:val="00C31E7B"/>
    <w:rsid w:val="00D304ED"/>
    <w:rsid w:val="00D75C64"/>
    <w:rsid w:val="00E01788"/>
    <w:rsid w:val="00E070AA"/>
    <w:rsid w:val="00E47A66"/>
    <w:rsid w:val="00E80445"/>
    <w:rsid w:val="00EC35A5"/>
    <w:rsid w:val="010E6025"/>
    <w:rsid w:val="012F32FC"/>
    <w:rsid w:val="01587D16"/>
    <w:rsid w:val="01A04759"/>
    <w:rsid w:val="01A836F9"/>
    <w:rsid w:val="023E1725"/>
    <w:rsid w:val="02421D02"/>
    <w:rsid w:val="02D944DD"/>
    <w:rsid w:val="032B1553"/>
    <w:rsid w:val="038C1DF1"/>
    <w:rsid w:val="039F6E44"/>
    <w:rsid w:val="048A0C4C"/>
    <w:rsid w:val="04AA17FE"/>
    <w:rsid w:val="05F54D6D"/>
    <w:rsid w:val="06247E21"/>
    <w:rsid w:val="067362EB"/>
    <w:rsid w:val="068117B6"/>
    <w:rsid w:val="06C26A7A"/>
    <w:rsid w:val="075570AE"/>
    <w:rsid w:val="07E4525D"/>
    <w:rsid w:val="08D60EA5"/>
    <w:rsid w:val="09402008"/>
    <w:rsid w:val="09B315DE"/>
    <w:rsid w:val="09B547AB"/>
    <w:rsid w:val="09EE122C"/>
    <w:rsid w:val="0A1E2AE2"/>
    <w:rsid w:val="0AAA4E9F"/>
    <w:rsid w:val="0AE876EE"/>
    <w:rsid w:val="0B3C33E2"/>
    <w:rsid w:val="0B782843"/>
    <w:rsid w:val="0C7472F1"/>
    <w:rsid w:val="0CAD1C6D"/>
    <w:rsid w:val="0CE4226E"/>
    <w:rsid w:val="0DAE7B73"/>
    <w:rsid w:val="0DD737A7"/>
    <w:rsid w:val="0DFD55A7"/>
    <w:rsid w:val="0E156E70"/>
    <w:rsid w:val="0E1D2DC4"/>
    <w:rsid w:val="0E2071F3"/>
    <w:rsid w:val="0E2C2AB5"/>
    <w:rsid w:val="0E4D7DC4"/>
    <w:rsid w:val="0E552A43"/>
    <w:rsid w:val="0E691595"/>
    <w:rsid w:val="0E761E24"/>
    <w:rsid w:val="0E970C12"/>
    <w:rsid w:val="0EC548DF"/>
    <w:rsid w:val="101713C8"/>
    <w:rsid w:val="102713DB"/>
    <w:rsid w:val="10687CF5"/>
    <w:rsid w:val="10796E30"/>
    <w:rsid w:val="10871E8E"/>
    <w:rsid w:val="10B86C1D"/>
    <w:rsid w:val="10D917CA"/>
    <w:rsid w:val="11031B8B"/>
    <w:rsid w:val="110903F6"/>
    <w:rsid w:val="11456B59"/>
    <w:rsid w:val="11871C18"/>
    <w:rsid w:val="11A71763"/>
    <w:rsid w:val="11AE5AAA"/>
    <w:rsid w:val="122430A9"/>
    <w:rsid w:val="12582EBE"/>
    <w:rsid w:val="12957422"/>
    <w:rsid w:val="12C92A41"/>
    <w:rsid w:val="12FD7D69"/>
    <w:rsid w:val="13055F11"/>
    <w:rsid w:val="13D04CD7"/>
    <w:rsid w:val="13DC2CB8"/>
    <w:rsid w:val="14221D35"/>
    <w:rsid w:val="142B1DB1"/>
    <w:rsid w:val="15173084"/>
    <w:rsid w:val="1582435D"/>
    <w:rsid w:val="15C97374"/>
    <w:rsid w:val="16451891"/>
    <w:rsid w:val="16586BE9"/>
    <w:rsid w:val="166F2BF1"/>
    <w:rsid w:val="171E6442"/>
    <w:rsid w:val="1742267B"/>
    <w:rsid w:val="17874DAF"/>
    <w:rsid w:val="1794192C"/>
    <w:rsid w:val="17A4202A"/>
    <w:rsid w:val="17EA1735"/>
    <w:rsid w:val="17EC7944"/>
    <w:rsid w:val="17FC1602"/>
    <w:rsid w:val="18613BC1"/>
    <w:rsid w:val="186E24D6"/>
    <w:rsid w:val="187E669C"/>
    <w:rsid w:val="18C92B9F"/>
    <w:rsid w:val="18D217BE"/>
    <w:rsid w:val="18F7132C"/>
    <w:rsid w:val="19267A1B"/>
    <w:rsid w:val="198C55A6"/>
    <w:rsid w:val="19CD3D1D"/>
    <w:rsid w:val="1A1838ED"/>
    <w:rsid w:val="1A31098E"/>
    <w:rsid w:val="1A511BE3"/>
    <w:rsid w:val="1A9A558C"/>
    <w:rsid w:val="1AFA71C6"/>
    <w:rsid w:val="1B1E785A"/>
    <w:rsid w:val="1B261919"/>
    <w:rsid w:val="1B2A00D1"/>
    <w:rsid w:val="1B7347F4"/>
    <w:rsid w:val="1BB23779"/>
    <w:rsid w:val="1BE73F47"/>
    <w:rsid w:val="1C024584"/>
    <w:rsid w:val="1C8F4B89"/>
    <w:rsid w:val="1C9A1178"/>
    <w:rsid w:val="1D064DF7"/>
    <w:rsid w:val="1D097D20"/>
    <w:rsid w:val="1D4D39AE"/>
    <w:rsid w:val="1D5C4003"/>
    <w:rsid w:val="1D6F464E"/>
    <w:rsid w:val="1D9E5A0C"/>
    <w:rsid w:val="1D9F5CDA"/>
    <w:rsid w:val="1E095370"/>
    <w:rsid w:val="1E904230"/>
    <w:rsid w:val="1EA56328"/>
    <w:rsid w:val="1FB504FE"/>
    <w:rsid w:val="1FE77AEB"/>
    <w:rsid w:val="1FFA383F"/>
    <w:rsid w:val="20081950"/>
    <w:rsid w:val="20671C22"/>
    <w:rsid w:val="207F541D"/>
    <w:rsid w:val="20851B07"/>
    <w:rsid w:val="20990B2A"/>
    <w:rsid w:val="20AB6596"/>
    <w:rsid w:val="20FB3E37"/>
    <w:rsid w:val="21264E5A"/>
    <w:rsid w:val="224E20DB"/>
    <w:rsid w:val="22845047"/>
    <w:rsid w:val="22937891"/>
    <w:rsid w:val="229D5685"/>
    <w:rsid w:val="22D05BCD"/>
    <w:rsid w:val="23532358"/>
    <w:rsid w:val="23703D7C"/>
    <w:rsid w:val="237161ED"/>
    <w:rsid w:val="23B47AA8"/>
    <w:rsid w:val="23E448D4"/>
    <w:rsid w:val="24610AB5"/>
    <w:rsid w:val="24A80447"/>
    <w:rsid w:val="24C5659C"/>
    <w:rsid w:val="250733D2"/>
    <w:rsid w:val="250E39D7"/>
    <w:rsid w:val="268412E8"/>
    <w:rsid w:val="26D81FCD"/>
    <w:rsid w:val="27452191"/>
    <w:rsid w:val="27BC0E8D"/>
    <w:rsid w:val="281C660E"/>
    <w:rsid w:val="285B64DE"/>
    <w:rsid w:val="288E613F"/>
    <w:rsid w:val="288F3A27"/>
    <w:rsid w:val="28951D46"/>
    <w:rsid w:val="29721939"/>
    <w:rsid w:val="29E1316E"/>
    <w:rsid w:val="29F80FE7"/>
    <w:rsid w:val="2A492717"/>
    <w:rsid w:val="2A8D1AA1"/>
    <w:rsid w:val="2AC93E57"/>
    <w:rsid w:val="2AE47609"/>
    <w:rsid w:val="2B786E5A"/>
    <w:rsid w:val="2BE7051D"/>
    <w:rsid w:val="2C3B3035"/>
    <w:rsid w:val="2C4B24F8"/>
    <w:rsid w:val="2C8452BD"/>
    <w:rsid w:val="2C882001"/>
    <w:rsid w:val="2CB00876"/>
    <w:rsid w:val="2CD35376"/>
    <w:rsid w:val="2D4168DD"/>
    <w:rsid w:val="2D930E3D"/>
    <w:rsid w:val="2E134FFF"/>
    <w:rsid w:val="2EAC2783"/>
    <w:rsid w:val="2EDA6C9B"/>
    <w:rsid w:val="2F220213"/>
    <w:rsid w:val="2F442A87"/>
    <w:rsid w:val="2F6C6D41"/>
    <w:rsid w:val="2FE853E7"/>
    <w:rsid w:val="2FF53957"/>
    <w:rsid w:val="2FF85F65"/>
    <w:rsid w:val="303845C1"/>
    <w:rsid w:val="306E2102"/>
    <w:rsid w:val="30731155"/>
    <w:rsid w:val="30F82569"/>
    <w:rsid w:val="31575D41"/>
    <w:rsid w:val="31885CBB"/>
    <w:rsid w:val="318C005A"/>
    <w:rsid w:val="31B372D4"/>
    <w:rsid w:val="31D86DCF"/>
    <w:rsid w:val="31EB11BF"/>
    <w:rsid w:val="32083D0C"/>
    <w:rsid w:val="32150B1E"/>
    <w:rsid w:val="33317857"/>
    <w:rsid w:val="334277A5"/>
    <w:rsid w:val="337563F9"/>
    <w:rsid w:val="34013B56"/>
    <w:rsid w:val="342019D5"/>
    <w:rsid w:val="346C251E"/>
    <w:rsid w:val="34AB1BAC"/>
    <w:rsid w:val="358D16EC"/>
    <w:rsid w:val="35A767A8"/>
    <w:rsid w:val="35CC1B7F"/>
    <w:rsid w:val="36237854"/>
    <w:rsid w:val="36487787"/>
    <w:rsid w:val="36B32239"/>
    <w:rsid w:val="36B610CD"/>
    <w:rsid w:val="373F3F75"/>
    <w:rsid w:val="37721A4B"/>
    <w:rsid w:val="37723635"/>
    <w:rsid w:val="380F19DC"/>
    <w:rsid w:val="383718CB"/>
    <w:rsid w:val="386A7C63"/>
    <w:rsid w:val="388A6997"/>
    <w:rsid w:val="38AF57A2"/>
    <w:rsid w:val="38CA6196"/>
    <w:rsid w:val="38DC1ADB"/>
    <w:rsid w:val="38F15DFA"/>
    <w:rsid w:val="38FC729A"/>
    <w:rsid w:val="39320FFB"/>
    <w:rsid w:val="39463E38"/>
    <w:rsid w:val="39E9024F"/>
    <w:rsid w:val="39FA4D33"/>
    <w:rsid w:val="3A3711CB"/>
    <w:rsid w:val="3A5C1D13"/>
    <w:rsid w:val="3A5C1E5A"/>
    <w:rsid w:val="3A9B67B2"/>
    <w:rsid w:val="3AD66858"/>
    <w:rsid w:val="3B221787"/>
    <w:rsid w:val="3B34068A"/>
    <w:rsid w:val="3B9610F4"/>
    <w:rsid w:val="3BB71C2D"/>
    <w:rsid w:val="3BD61A36"/>
    <w:rsid w:val="3BF67651"/>
    <w:rsid w:val="3C0318E0"/>
    <w:rsid w:val="3C7D1AA0"/>
    <w:rsid w:val="3CFF4A4C"/>
    <w:rsid w:val="3D152C6B"/>
    <w:rsid w:val="3DB611C5"/>
    <w:rsid w:val="3E741032"/>
    <w:rsid w:val="3E7B06C6"/>
    <w:rsid w:val="3E7F648D"/>
    <w:rsid w:val="3E844C32"/>
    <w:rsid w:val="3EBE4111"/>
    <w:rsid w:val="3EC318D5"/>
    <w:rsid w:val="3F142B57"/>
    <w:rsid w:val="3F1A7FAA"/>
    <w:rsid w:val="3F3E0AB4"/>
    <w:rsid w:val="3F984213"/>
    <w:rsid w:val="3FA952A0"/>
    <w:rsid w:val="3FC93E3E"/>
    <w:rsid w:val="3FCC330C"/>
    <w:rsid w:val="402B776A"/>
    <w:rsid w:val="406B30D4"/>
    <w:rsid w:val="40A30DAA"/>
    <w:rsid w:val="40F46A11"/>
    <w:rsid w:val="41572450"/>
    <w:rsid w:val="41777BB2"/>
    <w:rsid w:val="4186034B"/>
    <w:rsid w:val="418F6974"/>
    <w:rsid w:val="42712E83"/>
    <w:rsid w:val="428E2D29"/>
    <w:rsid w:val="429C7B55"/>
    <w:rsid w:val="43342476"/>
    <w:rsid w:val="433E3A34"/>
    <w:rsid w:val="43621D5E"/>
    <w:rsid w:val="43D3409E"/>
    <w:rsid w:val="43D91C59"/>
    <w:rsid w:val="445617D3"/>
    <w:rsid w:val="447957F2"/>
    <w:rsid w:val="44A86E9A"/>
    <w:rsid w:val="45176E5E"/>
    <w:rsid w:val="45644397"/>
    <w:rsid w:val="45696BDB"/>
    <w:rsid w:val="465B0945"/>
    <w:rsid w:val="46B00671"/>
    <w:rsid w:val="46C925E7"/>
    <w:rsid w:val="46CF30CF"/>
    <w:rsid w:val="46F3537A"/>
    <w:rsid w:val="46FF2A91"/>
    <w:rsid w:val="47112BE0"/>
    <w:rsid w:val="47512873"/>
    <w:rsid w:val="47C2216E"/>
    <w:rsid w:val="480F1ECA"/>
    <w:rsid w:val="48526CD7"/>
    <w:rsid w:val="485F7432"/>
    <w:rsid w:val="486B4F45"/>
    <w:rsid w:val="48841BE5"/>
    <w:rsid w:val="488A3AE1"/>
    <w:rsid w:val="48AA6498"/>
    <w:rsid w:val="48AD19E8"/>
    <w:rsid w:val="48BA7DF9"/>
    <w:rsid w:val="48E51899"/>
    <w:rsid w:val="49956A4F"/>
    <w:rsid w:val="4A4812FE"/>
    <w:rsid w:val="4A730934"/>
    <w:rsid w:val="4B1977A0"/>
    <w:rsid w:val="4B4F18E5"/>
    <w:rsid w:val="4B8E2BB5"/>
    <w:rsid w:val="4BCA492F"/>
    <w:rsid w:val="4BDA7851"/>
    <w:rsid w:val="4BDD0C15"/>
    <w:rsid w:val="4C112A28"/>
    <w:rsid w:val="4C367EE2"/>
    <w:rsid w:val="4C3E0A00"/>
    <w:rsid w:val="4C8F2B04"/>
    <w:rsid w:val="4C9C397D"/>
    <w:rsid w:val="4CA65793"/>
    <w:rsid w:val="4D441C8B"/>
    <w:rsid w:val="4D446E15"/>
    <w:rsid w:val="4D8A139E"/>
    <w:rsid w:val="4DFB59B1"/>
    <w:rsid w:val="4E106724"/>
    <w:rsid w:val="4E5B22DE"/>
    <w:rsid w:val="4E660826"/>
    <w:rsid w:val="4E843E20"/>
    <w:rsid w:val="4EB0159A"/>
    <w:rsid w:val="4F021AA9"/>
    <w:rsid w:val="4F0A5043"/>
    <w:rsid w:val="4F42590E"/>
    <w:rsid w:val="4F94106E"/>
    <w:rsid w:val="4FB870F0"/>
    <w:rsid w:val="4FE00A82"/>
    <w:rsid w:val="5025101F"/>
    <w:rsid w:val="508C5CA4"/>
    <w:rsid w:val="511901B3"/>
    <w:rsid w:val="52146C75"/>
    <w:rsid w:val="523577B2"/>
    <w:rsid w:val="52400BAA"/>
    <w:rsid w:val="52504441"/>
    <w:rsid w:val="52EC3EDC"/>
    <w:rsid w:val="52FE0D61"/>
    <w:rsid w:val="53151498"/>
    <w:rsid w:val="5316652D"/>
    <w:rsid w:val="53B134B9"/>
    <w:rsid w:val="53BD4A78"/>
    <w:rsid w:val="53D85335"/>
    <w:rsid w:val="53E125BE"/>
    <w:rsid w:val="541235D8"/>
    <w:rsid w:val="54CA1AED"/>
    <w:rsid w:val="55146BE0"/>
    <w:rsid w:val="55252947"/>
    <w:rsid w:val="5544476F"/>
    <w:rsid w:val="555E1E30"/>
    <w:rsid w:val="55A354FC"/>
    <w:rsid w:val="55BA0F7E"/>
    <w:rsid w:val="563411DE"/>
    <w:rsid w:val="573D0259"/>
    <w:rsid w:val="57874BC1"/>
    <w:rsid w:val="578A33CF"/>
    <w:rsid w:val="57FA6FE9"/>
    <w:rsid w:val="5807448D"/>
    <w:rsid w:val="581255D7"/>
    <w:rsid w:val="582012C9"/>
    <w:rsid w:val="582C6E15"/>
    <w:rsid w:val="587648D0"/>
    <w:rsid w:val="58A50EA8"/>
    <w:rsid w:val="58D008AE"/>
    <w:rsid w:val="58D278EC"/>
    <w:rsid w:val="58EA62B6"/>
    <w:rsid w:val="596F60AE"/>
    <w:rsid w:val="59B92E76"/>
    <w:rsid w:val="5A03106A"/>
    <w:rsid w:val="5A4F141A"/>
    <w:rsid w:val="5A9E0341"/>
    <w:rsid w:val="5B2F1EEB"/>
    <w:rsid w:val="5B302BC9"/>
    <w:rsid w:val="5B745643"/>
    <w:rsid w:val="5C263CAD"/>
    <w:rsid w:val="5C4B2E5B"/>
    <w:rsid w:val="5C8578BA"/>
    <w:rsid w:val="5D027E7E"/>
    <w:rsid w:val="5D2B48B4"/>
    <w:rsid w:val="5D844F05"/>
    <w:rsid w:val="5E70388B"/>
    <w:rsid w:val="5EC178AD"/>
    <w:rsid w:val="5ED83037"/>
    <w:rsid w:val="5F070F9B"/>
    <w:rsid w:val="5F220DF6"/>
    <w:rsid w:val="5F300F59"/>
    <w:rsid w:val="5F356E47"/>
    <w:rsid w:val="5FAE3AB2"/>
    <w:rsid w:val="5FCF5D35"/>
    <w:rsid w:val="60B91507"/>
    <w:rsid w:val="60D33ED8"/>
    <w:rsid w:val="616B0C9C"/>
    <w:rsid w:val="621356A8"/>
    <w:rsid w:val="62215171"/>
    <w:rsid w:val="624B097D"/>
    <w:rsid w:val="62844F25"/>
    <w:rsid w:val="62C06BAA"/>
    <w:rsid w:val="63D6165B"/>
    <w:rsid w:val="64031DD3"/>
    <w:rsid w:val="64084C3D"/>
    <w:rsid w:val="645475E2"/>
    <w:rsid w:val="6455010A"/>
    <w:rsid w:val="64C957CC"/>
    <w:rsid w:val="64E91D1B"/>
    <w:rsid w:val="65A83CC5"/>
    <w:rsid w:val="65CC5CF4"/>
    <w:rsid w:val="65E92BE6"/>
    <w:rsid w:val="669354B5"/>
    <w:rsid w:val="66B037DC"/>
    <w:rsid w:val="671125BE"/>
    <w:rsid w:val="6732696D"/>
    <w:rsid w:val="67397F81"/>
    <w:rsid w:val="67451D63"/>
    <w:rsid w:val="678C30B6"/>
    <w:rsid w:val="67E26E3A"/>
    <w:rsid w:val="67E9034C"/>
    <w:rsid w:val="68332B3B"/>
    <w:rsid w:val="683F3018"/>
    <w:rsid w:val="684466E8"/>
    <w:rsid w:val="684568B6"/>
    <w:rsid w:val="685B3667"/>
    <w:rsid w:val="68BD0B09"/>
    <w:rsid w:val="68CD7763"/>
    <w:rsid w:val="68EF79ED"/>
    <w:rsid w:val="68F57855"/>
    <w:rsid w:val="69D07B34"/>
    <w:rsid w:val="69E14465"/>
    <w:rsid w:val="6A226A53"/>
    <w:rsid w:val="6A231718"/>
    <w:rsid w:val="6A310DD3"/>
    <w:rsid w:val="6A4F4329"/>
    <w:rsid w:val="6AAF66D6"/>
    <w:rsid w:val="6AC67BD3"/>
    <w:rsid w:val="6AF12B3E"/>
    <w:rsid w:val="6B264B6E"/>
    <w:rsid w:val="6BD924EC"/>
    <w:rsid w:val="6C826573"/>
    <w:rsid w:val="6C8919B8"/>
    <w:rsid w:val="6C9D1375"/>
    <w:rsid w:val="6CE76051"/>
    <w:rsid w:val="6DCF61FF"/>
    <w:rsid w:val="6E3755C1"/>
    <w:rsid w:val="6E640DD3"/>
    <w:rsid w:val="6E64260C"/>
    <w:rsid w:val="6E914841"/>
    <w:rsid w:val="6EB1052D"/>
    <w:rsid w:val="6EC317CE"/>
    <w:rsid w:val="6F4E6508"/>
    <w:rsid w:val="6F4F2037"/>
    <w:rsid w:val="6FA608C2"/>
    <w:rsid w:val="701F7E35"/>
    <w:rsid w:val="704C3A50"/>
    <w:rsid w:val="70965651"/>
    <w:rsid w:val="70A14AF9"/>
    <w:rsid w:val="71576811"/>
    <w:rsid w:val="7165235D"/>
    <w:rsid w:val="716F460A"/>
    <w:rsid w:val="71BD016F"/>
    <w:rsid w:val="71CF0BED"/>
    <w:rsid w:val="71D66846"/>
    <w:rsid w:val="71E54E4B"/>
    <w:rsid w:val="723C3332"/>
    <w:rsid w:val="7252271D"/>
    <w:rsid w:val="726873F0"/>
    <w:rsid w:val="727B46BA"/>
    <w:rsid w:val="729D59B3"/>
    <w:rsid w:val="7313238C"/>
    <w:rsid w:val="731759FD"/>
    <w:rsid w:val="732747CE"/>
    <w:rsid w:val="734164C7"/>
    <w:rsid w:val="735A62E0"/>
    <w:rsid w:val="74611F35"/>
    <w:rsid w:val="74645702"/>
    <w:rsid w:val="746E7275"/>
    <w:rsid w:val="74D80B53"/>
    <w:rsid w:val="751A7E63"/>
    <w:rsid w:val="75400B60"/>
    <w:rsid w:val="754A20F0"/>
    <w:rsid w:val="7558335C"/>
    <w:rsid w:val="756562E8"/>
    <w:rsid w:val="76406DC8"/>
    <w:rsid w:val="76AC6A44"/>
    <w:rsid w:val="76B040EE"/>
    <w:rsid w:val="76DB3663"/>
    <w:rsid w:val="778B6418"/>
    <w:rsid w:val="779A0D22"/>
    <w:rsid w:val="7872306D"/>
    <w:rsid w:val="78AB2481"/>
    <w:rsid w:val="78C863CB"/>
    <w:rsid w:val="792B6181"/>
    <w:rsid w:val="79F43DA8"/>
    <w:rsid w:val="7A3B2D26"/>
    <w:rsid w:val="7A404208"/>
    <w:rsid w:val="7A436452"/>
    <w:rsid w:val="7A6A3136"/>
    <w:rsid w:val="7A9439F5"/>
    <w:rsid w:val="7AFD1570"/>
    <w:rsid w:val="7B134572"/>
    <w:rsid w:val="7B4B064C"/>
    <w:rsid w:val="7B6E62FB"/>
    <w:rsid w:val="7C187EC4"/>
    <w:rsid w:val="7C3507CF"/>
    <w:rsid w:val="7CDB5FF9"/>
    <w:rsid w:val="7CEC0651"/>
    <w:rsid w:val="7D4A7AE5"/>
    <w:rsid w:val="7D586692"/>
    <w:rsid w:val="7D810E5F"/>
    <w:rsid w:val="7D84768B"/>
    <w:rsid w:val="7DD86538"/>
    <w:rsid w:val="7E0D600E"/>
    <w:rsid w:val="7E2C0DEA"/>
    <w:rsid w:val="7E2D0B3F"/>
    <w:rsid w:val="7E341C7F"/>
    <w:rsid w:val="7E8B6D03"/>
    <w:rsid w:val="7FC25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5">
    <w:name w:val="Normal Indent"/>
    <w:basedOn w:val="1"/>
    <w:next w:val="1"/>
    <w:unhideWhenUsed/>
    <w:qFormat/>
    <w:uiPriority w:val="0"/>
    <w:pPr>
      <w:ind w:firstLine="420" w:firstLineChars="200"/>
    </w:pPr>
  </w:style>
  <w:style w:type="paragraph" w:styleId="6">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jc w:val="left"/>
    </w:pPr>
    <w:rPr>
      <w:kern w:val="0"/>
      <w:sz w:val="24"/>
    </w:rPr>
  </w:style>
  <w:style w:type="character" w:styleId="12">
    <w:name w:val="Strong"/>
    <w:basedOn w:val="11"/>
    <w:qFormat/>
    <w:uiPriority w:val="22"/>
    <w:rPr>
      <w:b/>
    </w:rPr>
  </w:style>
  <w:style w:type="character" w:styleId="13">
    <w:name w:val="page number"/>
    <w:basedOn w:val="11"/>
    <w:qFormat/>
    <w:uiPriority w:val="0"/>
  </w:style>
  <w:style w:type="character" w:styleId="14">
    <w:name w:val="FollowedHyperlink"/>
    <w:basedOn w:val="11"/>
    <w:semiHidden/>
    <w:unhideWhenUsed/>
    <w:qFormat/>
    <w:uiPriority w:val="99"/>
    <w:rPr>
      <w:color w:val="337AB7"/>
      <w:u w:val="none"/>
    </w:rPr>
  </w:style>
  <w:style w:type="character" w:styleId="15">
    <w:name w:val="HTML Definition"/>
    <w:basedOn w:val="11"/>
    <w:semiHidden/>
    <w:unhideWhenUsed/>
    <w:qFormat/>
    <w:uiPriority w:val="99"/>
    <w:rPr>
      <w:i/>
    </w:rPr>
  </w:style>
  <w:style w:type="character" w:styleId="16">
    <w:name w:val="Hyperlink"/>
    <w:basedOn w:val="11"/>
    <w:semiHidden/>
    <w:unhideWhenUsed/>
    <w:qFormat/>
    <w:uiPriority w:val="99"/>
    <w:rPr>
      <w:color w:val="337AB7"/>
      <w:u w:val="none"/>
    </w:rPr>
  </w:style>
  <w:style w:type="character" w:styleId="17">
    <w:name w:val="HTML Code"/>
    <w:basedOn w:val="11"/>
    <w:semiHidden/>
    <w:unhideWhenUsed/>
    <w:qFormat/>
    <w:uiPriority w:val="99"/>
    <w:rPr>
      <w:rFonts w:ascii="Consolas" w:hAnsi="Consolas" w:eastAsia="Consolas" w:cs="Consolas"/>
      <w:color w:val="C7254E"/>
      <w:sz w:val="21"/>
      <w:szCs w:val="21"/>
      <w:shd w:val="clear" w:fill="F9F2F4"/>
    </w:rPr>
  </w:style>
  <w:style w:type="character" w:styleId="18">
    <w:name w:val="HTML Keyboard"/>
    <w:basedOn w:val="11"/>
    <w:semiHidden/>
    <w:unhideWhenUsed/>
    <w:qFormat/>
    <w:uiPriority w:val="99"/>
    <w:rPr>
      <w:rFonts w:hint="default" w:ascii="Consolas" w:hAnsi="Consolas" w:eastAsia="Consolas" w:cs="Consolas"/>
      <w:color w:val="FFFFFF"/>
      <w:sz w:val="21"/>
      <w:szCs w:val="21"/>
      <w:shd w:val="clear" w:fill="333333"/>
    </w:rPr>
  </w:style>
  <w:style w:type="character" w:styleId="19">
    <w:name w:val="HTML Sample"/>
    <w:basedOn w:val="11"/>
    <w:semiHidden/>
    <w:unhideWhenUsed/>
    <w:qFormat/>
    <w:uiPriority w:val="99"/>
    <w:rPr>
      <w:rFonts w:hint="default" w:ascii="Consolas" w:hAnsi="Consolas" w:eastAsia="Consolas" w:cs="Consolas"/>
      <w:sz w:val="21"/>
      <w:szCs w:val="21"/>
    </w:rPr>
  </w:style>
  <w:style w:type="paragraph" w:customStyle="1" w:styleId="20">
    <w:name w:val="批注文字 New New"/>
    <w:basedOn w:val="1"/>
    <w:qFormat/>
    <w:uiPriority w:val="0"/>
    <w:pPr>
      <w:jc w:val="left"/>
    </w:pPr>
    <w:rPr>
      <w:szCs w:val="20"/>
    </w:rPr>
  </w:style>
  <w:style w:type="character" w:customStyle="1" w:styleId="21">
    <w:name w:val="页眉 Char"/>
    <w:basedOn w:val="11"/>
    <w:link w:val="8"/>
    <w:semiHidden/>
    <w:qFormat/>
    <w:uiPriority w:val="99"/>
    <w:rPr>
      <w:rFonts w:ascii="Times New Roman" w:hAnsi="Times New Roman" w:eastAsia="宋体" w:cs="Times New Roman"/>
      <w:sz w:val="18"/>
      <w:szCs w:val="18"/>
    </w:rPr>
  </w:style>
  <w:style w:type="character" w:customStyle="1" w:styleId="22">
    <w:name w:val="页脚 Char"/>
    <w:basedOn w:val="11"/>
    <w:link w:val="7"/>
    <w:qFormat/>
    <w:uiPriority w:val="99"/>
    <w:rPr>
      <w:rFonts w:ascii="Times New Roman" w:hAnsi="Times New Roman" w:eastAsia="宋体" w:cs="Times New Roman"/>
      <w:sz w:val="18"/>
      <w:szCs w:val="18"/>
    </w:rPr>
  </w:style>
  <w:style w:type="paragraph" w:customStyle="1" w:styleId="23">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actspan"/>
    <w:basedOn w:val="11"/>
    <w:qFormat/>
    <w:uiPriority w:val="0"/>
  </w:style>
  <w:style w:type="character" w:customStyle="1" w:styleId="26">
    <w:name w:val="layui-layer-tabnow"/>
    <w:basedOn w:val="11"/>
    <w:qFormat/>
    <w:uiPriority w:val="0"/>
    <w:rPr>
      <w:bdr w:val="single" w:color="CCCCCC" w:sz="6" w:space="0"/>
      <w:shd w:val="clear" w:fill="FFFFFF"/>
    </w:rPr>
  </w:style>
  <w:style w:type="character" w:customStyle="1" w:styleId="27">
    <w:name w:val="first-child"/>
    <w:basedOn w:val="11"/>
    <w:qFormat/>
    <w:uiPriority w:val="0"/>
  </w:style>
  <w:style w:type="paragraph" w:customStyle="1" w:styleId="28">
    <w:name w:val="我的正文"/>
    <w:basedOn w:val="29"/>
    <w:qFormat/>
    <w:uiPriority w:val="0"/>
    <w:pPr>
      <w:spacing w:line="560" w:lineRule="exact"/>
      <w:ind w:firstLine="200" w:firstLineChars="200"/>
    </w:pPr>
    <w:rPr>
      <w:rFonts w:eastAsia="仿宋_GB2312"/>
      <w:sz w:val="32"/>
      <w:szCs w:val="32"/>
    </w:rPr>
  </w:style>
  <w:style w:type="paragraph" w:customStyle="1" w:styleId="29">
    <w:name w:val="正文 New New"/>
    <w:qFormat/>
    <w:uiPriority w:val="0"/>
    <w:pPr>
      <w:widowControl w:val="0"/>
      <w:jc w:val="both"/>
    </w:pPr>
    <w:rPr>
      <w:rFonts w:ascii="Calibri" w:hAnsi="Calibri" w:eastAsia="宋体" w:cs="Times New Roman"/>
      <w:kern w:val="2"/>
      <w:sz w:val="21"/>
      <w:lang w:val="en-US" w:eastAsia="zh-CN" w:bidi="ar-SA"/>
    </w:rPr>
  </w:style>
  <w:style w:type="character" w:customStyle="1" w:styleId="30">
    <w:name w:val="actspan2"/>
    <w:basedOn w:val="11"/>
    <w:qFormat/>
    <w:uiPriority w:val="0"/>
  </w:style>
  <w:style w:type="paragraph" w:customStyle="1" w:styleId="31">
    <w:name w:val="p0"/>
    <w:basedOn w:val="1"/>
    <w:qFormat/>
    <w:uiPriority w:val="0"/>
    <w:pPr>
      <w:widowControl/>
    </w:pPr>
    <w:rPr>
      <w:kern w:val="0"/>
      <w:szCs w:val="21"/>
    </w:rPr>
  </w:style>
  <w:style w:type="paragraph" w:customStyle="1" w:styleId="32">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33">
    <w:name w:val="Table caption|1"/>
    <w:basedOn w:val="1"/>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paragraph" w:customStyle="1" w:styleId="34">
    <w:name w:val="Other|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35">
    <w:name w:val="Other|2"/>
    <w:basedOn w:val="1"/>
    <w:qFormat/>
    <w:uiPriority w:val="0"/>
    <w:pPr>
      <w:widowControl w:val="0"/>
      <w:shd w:val="clear" w:color="auto" w:fill="auto"/>
      <w:spacing w:before="160" w:line="230" w:lineRule="exact"/>
      <w:jc w:val="center"/>
    </w:pPr>
    <w:rPr>
      <w:rFonts w:ascii="宋体" w:hAnsi="宋体" w:eastAsia="宋体" w:cs="宋体"/>
      <w:sz w:val="22"/>
      <w:szCs w:val="22"/>
      <w:u w:val="none"/>
      <w:shd w:val="clear" w:color="auto" w:fill="auto"/>
      <w:lang w:val="zh-TW" w:eastAsia="zh-TW" w:bidi="zh-TW"/>
    </w:rPr>
  </w:style>
  <w:style w:type="paragraph" w:customStyle="1" w:styleId="36">
    <w:name w:val="Header or footer|1"/>
    <w:basedOn w:val="1"/>
    <w:qFormat/>
    <w:uiPriority w:val="0"/>
    <w:pPr>
      <w:widowControl w:val="0"/>
      <w:shd w:val="clear" w:color="auto" w:fill="auto"/>
    </w:pPr>
    <w:rPr>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3212</Words>
  <Characters>3540</Characters>
  <Lines>27</Lines>
  <Paragraphs>7</Paragraphs>
  <TotalTime>6</TotalTime>
  <ScaleCrop>false</ScaleCrop>
  <LinksUpToDate>false</LinksUpToDate>
  <CharactersWithSpaces>3606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2022-03-09T06:49:00Z</dcterms:created>
  <dc:creator>张小丽</dc:creator>
  <cp:lastModifiedBy>Administrator</cp:lastModifiedBy>
  <cp:lastPrinted>2022-09-08T08:24:00Z</cp:lastPrinted>
  <dcterms:modified xsi:type="dcterms:W3CDTF">2022-09-08T10:14:20Z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31460B3320CA464FBA1EB9D321C1646C</vt:lpwstr>
  </property>
</Properties>
</file>